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Minutes of A1n/d2n collaboration meeting on </w:t>
      </w:r>
      <w:r>
        <w:rPr/>
        <w:t>July 24</w:t>
      </w:r>
      <w:r>
        <w:rPr>
          <w:vertAlign w:val="superscript"/>
        </w:rPr>
        <w:t>th</w:t>
      </w:r>
      <w:r>
        <w:rPr/>
        <w:t>, 2019</w:t>
      </w:r>
    </w:p>
    <w:p>
      <w:pPr>
        <w:pStyle w:val="Normal"/>
        <w:rPr/>
      </w:pPr>
      <w:r>
        <w:rPr/>
      </w:r>
    </w:p>
    <w:p>
      <w:pPr>
        <w:pStyle w:val="Normal"/>
        <w:rPr/>
      </w:pPr>
      <w:r>
        <w:rPr/>
        <w:t>black = Notes and discussions;</w:t>
      </w:r>
    </w:p>
    <w:p>
      <w:pPr>
        <w:pStyle w:val="Normal"/>
        <w:rPr>
          <w:color w:val="FF3333"/>
        </w:rPr>
      </w:pPr>
      <w:r>
        <w:rPr>
          <w:color w:val="FF3333"/>
        </w:rPr>
        <w:t xml:space="preserve">red = </w:t>
      </w:r>
      <w:r>
        <w:rPr>
          <w:color w:val="FF3333"/>
        </w:rPr>
        <w:t xml:space="preserve">(more urgent or immediate) </w:t>
      </w:r>
      <w:r>
        <w:rPr>
          <w:color w:val="FF3333"/>
        </w:rPr>
        <w:t xml:space="preserve">to do’s; </w:t>
      </w:r>
      <w:r>
        <w:rPr>
          <w:color w:val="auto"/>
        </w:rPr>
        <w:t xml:space="preserve">–  </w:t>
      </w:r>
      <w:r>
        <w:rPr>
          <w:color w:val="auto"/>
        </w:rPr>
        <w:t>note the whole minutes are a giant to do list.</w:t>
      </w:r>
    </w:p>
    <w:p>
      <w:pPr>
        <w:pStyle w:val="Normal"/>
        <w:rPr>
          <w:b/>
          <w:b/>
          <w:bCs/>
          <w:color w:val="0000FF"/>
        </w:rPr>
      </w:pPr>
      <w:r>
        <w:rPr>
          <w:b/>
          <w:bCs/>
          <w:color w:val="0000FF"/>
        </w:rPr>
        <w:t xml:space="preserve">bold blue </w:t>
      </w:r>
      <w:r>
        <w:rPr>
          <w:b/>
          <w:bCs/>
          <w:color w:val="0000FF"/>
        </w:rPr>
        <w:t xml:space="preserve">3 </w:t>
      </w:r>
      <w:r>
        <w:rPr>
          <w:b/>
          <w:bCs/>
          <w:color w:val="0000FF"/>
        </w:rPr>
        <w:t xml:space="preserve">= new findings </w:t>
      </w:r>
      <w:r>
        <w:rPr>
          <w:b/>
          <w:bCs/>
          <w:color w:val="0000FF"/>
        </w:rPr>
        <w:t>and/or significant updates</w:t>
      </w:r>
    </w:p>
    <w:p>
      <w:pPr>
        <w:pStyle w:val="Normal"/>
        <w:rPr>
          <w:color w:val="FF00CC"/>
        </w:rPr>
      </w:pPr>
      <w:r>
        <w:rPr>
          <w:color w:val="FF00CC"/>
        </w:rPr>
        <w:t>pink</w:t>
      </w:r>
      <w:r>
        <w:rPr>
          <w:color w:val="FF00CC"/>
        </w:rPr>
        <w:t xml:space="preserve"> = manpower discussions/needs.</w:t>
      </w:r>
    </w:p>
    <w:p>
      <w:pPr>
        <w:pStyle w:val="Normal"/>
        <w:rPr>
          <w:color w:val="009900"/>
        </w:rPr>
      </w:pPr>
      <w:r>
        <w:rPr>
          <w:color w:val="009900"/>
        </w:rPr>
        <w:t xml:space="preserve">green 4 = items from Dec ‘18 meeting that </w:t>
      </w:r>
      <w:r>
        <w:rPr>
          <w:color w:val="009900"/>
        </w:rPr>
        <w:t xml:space="preserve">have eluded everyone’s radar and </w:t>
      </w:r>
      <w:r>
        <w:rPr>
          <w:color w:val="009900"/>
        </w:rPr>
        <w:t>need followup</w:t>
      </w:r>
    </w:p>
    <w:p>
      <w:pPr>
        <w:pStyle w:val="Normal"/>
        <w:rPr/>
      </w:pPr>
      <w:r>
        <w:rPr/>
      </w:r>
    </w:p>
    <w:p>
      <w:pPr>
        <w:pStyle w:val="Normal"/>
        <w:rPr/>
      </w:pPr>
      <w:r>
        <w:rPr>
          <w:b/>
          <w:bCs/>
        </w:rPr>
        <w:t>Steve W.</w:t>
      </w:r>
      <w:r>
        <w:rPr>
          <w:b/>
          <w:bCs/>
        </w:rPr>
        <w:t xml:space="preserve"> (scheduling):</w:t>
      </w:r>
    </w:p>
    <w:p>
      <w:pPr>
        <w:pStyle w:val="Normal"/>
        <w:rPr/>
      </w:pPr>
      <w:r>
        <w:rPr/>
        <w:t>In the published schedule, we have</w:t>
      </w:r>
    </w:p>
    <w:p>
      <w:pPr>
        <w:pStyle w:val="Normal"/>
        <w:rPr/>
      </w:pPr>
      <w:r>
        <w:rPr/>
        <w:t>(7/18/2019-10/31/2019 installation)</w:t>
      </w:r>
    </w:p>
    <w:p>
      <w:pPr>
        <w:pStyle w:val="Normal"/>
        <w:rPr/>
      </w:pPr>
      <w:r>
        <w:rPr/>
        <w:t>11/1-12/19/2018 A1n (49 days)</w:t>
      </w:r>
    </w:p>
    <w:p>
      <w:pPr>
        <w:pStyle w:val="Normal"/>
        <w:rPr/>
      </w:pPr>
      <w:r>
        <w:rPr/>
        <w:t>1/22-2/13/2019 A1n (23 days)</w:t>
      </w:r>
    </w:p>
    <w:p>
      <w:pPr>
        <w:pStyle w:val="Normal"/>
        <w:rPr/>
      </w:pPr>
      <w:r>
        <w:rPr/>
        <w:t>2/14-4/10/2020 d2n (57 days)</w:t>
      </w:r>
    </w:p>
    <w:p>
      <w:pPr>
        <w:pStyle w:val="Normal"/>
        <w:rPr/>
      </w:pPr>
      <w:r>
        <w:rPr/>
        <w:t>4/11-5/5 contingency</w:t>
      </w:r>
    </w:p>
    <w:p>
      <w:pPr>
        <w:pStyle w:val="Normal"/>
        <w:rPr/>
      </w:pPr>
      <w:r>
        <w:rPr/>
      </w:r>
    </w:p>
    <w:p>
      <w:pPr>
        <w:pStyle w:val="Normal"/>
        <w:rPr/>
      </w:pPr>
      <w:r>
        <w:rPr/>
        <w:t xml:space="preserve">- With the 18-day delay in the Hall C summer program (PREX2 will run longer but not relevant for us) we will likely push A1n start to 11/19. </w:t>
      </w:r>
    </w:p>
    <w:p>
      <w:pPr>
        <w:pStyle w:val="Normal"/>
        <w:rPr/>
      </w:pPr>
      <w:r>
        <w:rPr/>
      </w:r>
    </w:p>
    <w:p>
      <w:pPr>
        <w:pStyle w:val="Normal"/>
        <w:rPr/>
      </w:pPr>
      <w:r>
        <w:rPr/>
        <w:t>- the request of two times 3-day 1-pass run for calibration has been acknowledged.</w:t>
      </w:r>
    </w:p>
    <w:p>
      <w:pPr>
        <w:pStyle w:val="Normal"/>
        <w:rPr/>
      </w:pPr>
      <w:r>
        <w:rPr/>
      </w:r>
    </w:p>
    <w:p>
      <w:pPr>
        <w:pStyle w:val="Normal"/>
        <w:rPr/>
      </w:pPr>
      <w:r>
        <w:rPr/>
        <w:t xml:space="preserve">Discussions: </w:t>
      </w:r>
    </w:p>
    <w:p>
      <w:pPr>
        <w:pStyle w:val="Normal"/>
        <w:rPr/>
      </w:pPr>
      <w:r>
        <w:rPr/>
        <w:t xml:space="preserve">(Jay) </w:t>
      </w:r>
    </w:p>
    <w:p>
      <w:pPr>
        <w:pStyle w:val="Normal"/>
        <w:rPr/>
      </w:pPr>
      <w:r>
        <w:rPr/>
        <w:t>- the late finish of PREX2 will affect the planned accelerator work. This work is needed for the high energy run in C in the fall. So it is not irrelevant to us but timing wise it should be okay (to start in Nov).</w:t>
      </w:r>
    </w:p>
    <w:p>
      <w:pPr>
        <w:pStyle w:val="Normal"/>
        <w:rPr/>
      </w:pPr>
      <w:r>
        <w:rPr/>
        <w:t xml:space="preserve">- there is a possibility to start beam earlier in January depending on how the X’mas shut down is done (warm tunnel, 2K vs. 4K etc). It’s possible to shut down for 12/23-1/2/2020, then it will take one week to restore and beam starts on 1/9/2020. </w:t>
      </w:r>
    </w:p>
    <w:p>
      <w:pPr>
        <w:pStyle w:val="Normal"/>
        <w:rPr/>
      </w:pPr>
      <w:r>
        <w:rPr/>
        <w:t>(Thia):</w:t>
      </w:r>
    </w:p>
    <w:p>
      <w:pPr>
        <w:pStyle w:val="Normal"/>
        <w:rPr/>
      </w:pPr>
      <w:r>
        <w:rPr/>
        <w:t>- A1n start in the Hall is determined by the target installation, not by the accelerator. We are not pushing for start on 11/1 because of the target;</w:t>
      </w:r>
    </w:p>
    <w:p>
      <w:pPr>
        <w:pStyle w:val="Normal"/>
        <w:rPr/>
      </w:pPr>
      <w:r>
        <w:rPr/>
        <w:t>(JP, Bert, Walter);</w:t>
      </w:r>
    </w:p>
    <w:p>
      <w:pPr>
        <w:pStyle w:val="Normal"/>
        <w:rPr/>
      </w:pPr>
      <w:r>
        <w:rPr/>
        <w:t xml:space="preserve">- One week is needed for target rotation </w:t>
      </w:r>
      <w:r>
        <w:rPr>
          <w:color w:val="FF3333"/>
        </w:rPr>
        <w:t>(to be finalized)</w:t>
      </w:r>
    </w:p>
    <w:p>
      <w:pPr>
        <w:pStyle w:val="Normal"/>
        <w:rPr/>
      </w:pPr>
      <w:r>
        <w:rPr/>
        <w:t>(Xiaochao):</w:t>
      </w:r>
    </w:p>
    <w:p>
      <w:pPr>
        <w:pStyle w:val="Normal"/>
        <w:rPr/>
      </w:pPr>
      <w:r>
        <w:rPr/>
        <w:t>- with the 18 day delay and the 3 days needed for 1-pass commissioning, if we keep the target rotation at X’mas then there is only 28 days of high x running, compare to 50 days of approved calendar time (25 PAC days).  Start the beam early in January will be very helpful. In this case we will continue with high x run until near end of January, then rotate the target, then resume A1n (low x) and d2n.</w:t>
      </w:r>
    </w:p>
    <w:p>
      <w:pPr>
        <w:pStyle w:val="Normal"/>
        <w:rPr/>
      </w:pPr>
      <w:r>
        <w:rPr/>
      </w:r>
    </w:p>
    <w:p>
      <w:pPr>
        <w:pStyle w:val="Normal"/>
        <w:rPr/>
      </w:pPr>
      <w:r>
        <w:rPr/>
        <w:t xml:space="preserve">- </w:t>
      </w:r>
      <w:r>
        <w:rPr/>
        <w:t>Overall there are too many uncertainties in scheduling at the moment. A lot of these will be more clear within two weeks (scheduling discussion will be within this time frame).</w:t>
      </w:r>
    </w:p>
    <w:p>
      <w:pPr>
        <w:pStyle w:val="Normal"/>
        <w:rPr/>
      </w:pPr>
      <w:r>
        <w:rPr/>
      </w:r>
    </w:p>
    <w:p>
      <w:pPr>
        <w:pStyle w:val="Normal"/>
        <w:rPr/>
      </w:pPr>
      <w:r>
        <w:rPr/>
        <w:t>(Thia):</w:t>
      </w:r>
    </w:p>
    <w:p>
      <w:pPr>
        <w:pStyle w:val="Normal"/>
        <w:rPr/>
      </w:pPr>
      <w:r>
        <w:rPr/>
        <w:t xml:space="preserve">- </w:t>
      </w:r>
      <w:r>
        <w:rPr>
          <w:color w:val="FF3333"/>
        </w:rPr>
        <w:t>what are the angles needed for A1n+d2n?</w:t>
      </w:r>
      <w:r>
        <w:rPr/>
        <w:t xml:space="preserve">  Need to make sure we keep this range clear on the floor during summer decommissioning. - done, list sent to Thia by Xiaochao on the same day.</w:t>
      </w:r>
    </w:p>
    <w:p>
      <w:pPr>
        <w:pStyle w:val="Normal"/>
        <w:rPr/>
      </w:pPr>
      <w:r>
        <w:rPr/>
        <w:t xml:space="preserve">- </w:t>
      </w:r>
      <w:r>
        <w:rPr/>
        <w:t>any spectrometer rotation needs to be checked with Steve Lassiter.</w:t>
      </w:r>
    </w:p>
    <w:p>
      <w:pPr>
        <w:pStyle w:val="Normal"/>
        <w:rPr/>
      </w:pPr>
      <w:r>
        <w:rPr/>
      </w:r>
    </w:p>
    <w:p>
      <w:pPr>
        <w:pStyle w:val="Normal"/>
        <w:rPr/>
      </w:pPr>
      <w:r>
        <w:rPr/>
        <w:t xml:space="preserve">– </w:t>
      </w:r>
      <w:r>
        <w:rPr/>
        <w:t>Note: for positron runs should plan to do this only on SHMS (not HMS), since setting the HMS to positive polarity is more difficult (require access).</w:t>
      </w:r>
    </w:p>
    <w:p>
      <w:pPr>
        <w:pStyle w:val="Normal"/>
        <w:rPr/>
      </w:pPr>
      <w:r>
        <w:rPr/>
      </w:r>
    </w:p>
    <w:p>
      <w:pPr>
        <w:pStyle w:val="Normal"/>
        <w:rPr>
          <w:b/>
          <w:b/>
          <w:bCs/>
        </w:rPr>
      </w:pPr>
      <w:r>
        <w:rPr>
          <w:b/>
          <w:bCs/>
        </w:rPr>
        <w:t>Walter (installation):</w:t>
      </w:r>
    </w:p>
    <w:p>
      <w:pPr>
        <w:pStyle w:val="Normal"/>
        <w:rPr/>
      </w:pPr>
      <w:r>
        <w:rPr/>
        <w:t>- Nothing really changed since last meeting, though schedule is being pushed ~18 days.  Now showing target installation ends on 11/30 but that is a conservative estimate.</w:t>
      </w:r>
    </w:p>
    <w:p>
      <w:pPr>
        <w:pStyle w:val="Normal"/>
        <w:rPr/>
      </w:pPr>
      <w:r>
        <w:rPr/>
        <w:t xml:space="preserve">(Thia/JP to Xiaochao): PI/spokespersons need not worry about details of scheduling, start dates etc. Just ask for beam time. </w:t>
      </w:r>
    </w:p>
    <w:p>
      <w:pPr>
        <w:pStyle w:val="Normal"/>
        <w:rPr/>
      </w:pPr>
      <w:r>
        <w:rPr/>
      </w:r>
    </w:p>
    <w:p>
      <w:pPr>
        <w:pStyle w:val="Normal"/>
        <w:rPr/>
      </w:pPr>
      <w:r>
        <w:rPr/>
        <w:t>- JP reminded that laser alignment, target field mapping etc should all be included in the installation schedule.</w:t>
      </w:r>
    </w:p>
    <w:p>
      <w:pPr>
        <w:pStyle w:val="Normal"/>
        <w:rPr/>
      </w:pPr>
      <w:r>
        <w:rPr/>
      </w:r>
    </w:p>
    <w:p>
      <w:pPr>
        <w:pStyle w:val="Normal"/>
        <w:rPr/>
      </w:pPr>
      <w:r>
        <w:rPr/>
        <w:t xml:space="preserve">- (Thia): </w:t>
      </w:r>
      <w:r>
        <w:rPr>
          <w:color w:val="FF3333"/>
        </w:rPr>
        <w:t xml:space="preserve">collaboration should come up with a list of survey need. </w:t>
      </w:r>
    </w:p>
    <w:p>
      <w:pPr>
        <w:pStyle w:val="Normal"/>
        <w:rPr/>
      </w:pPr>
      <w:r>
        <w:rPr/>
      </w:r>
    </w:p>
    <w:p>
      <w:pPr>
        <w:pStyle w:val="Normal"/>
        <w:rPr/>
      </w:pPr>
      <w:r>
        <w:rPr>
          <w:b/>
          <w:bCs/>
        </w:rPr>
        <w:t>Dave G. (beamline and Moller)</w:t>
      </w:r>
    </w:p>
    <w:p>
      <w:pPr>
        <w:pStyle w:val="Normal"/>
        <w:rPr/>
      </w:pPr>
      <w:r>
        <w:rPr/>
        <w:t xml:space="preserve">- </w:t>
      </w:r>
      <w:r>
        <w:rPr/>
        <w:t>the quad configuration needed for 1- and 5-pass is different: 1 quad for 1-pass and 2-quads for 5-pass. Because of the way the quads are powered now, need to swap power cables between the two configurations. Should take only 2 hours, and no more than 1 shift in the worst case.</w:t>
      </w:r>
    </w:p>
    <w:p>
      <w:pPr>
        <w:pStyle w:val="Normal"/>
        <w:rPr/>
      </w:pPr>
      <w:r>
        <w:rPr/>
      </w:r>
    </w:p>
    <w:p>
      <w:pPr>
        <w:pStyle w:val="Normal"/>
        <w:rPr/>
      </w:pPr>
      <w:r>
        <w:rPr/>
        <w:t xml:space="preserve">- </w:t>
      </w:r>
      <w:r>
        <w:rPr/>
        <w:t xml:space="preserve">but the swapping may cause confusion to the Ops. Need to work out two versions for the optics </w:t>
      </w:r>
    </w:p>
    <w:p>
      <w:pPr>
        <w:pStyle w:val="Normal"/>
        <w:rPr/>
      </w:pPr>
      <w:r>
        <w:rPr/>
      </w:r>
    </w:p>
    <w:p>
      <w:pPr>
        <w:pStyle w:val="Normal"/>
        <w:rPr/>
      </w:pPr>
      <w:r>
        <w:rPr/>
        <w:t>(Xiaochao) – cable swapping can be done during the one-shift pass change (right?).  If more time is needed, it can be done opportunistically (later), not necessarily delay beam start at 5-pass.</w:t>
      </w:r>
    </w:p>
    <w:p>
      <w:pPr>
        <w:pStyle w:val="Normal"/>
        <w:rPr/>
      </w:pPr>
      <w:r>
        <w:rPr/>
      </w:r>
    </w:p>
    <w:p>
      <w:pPr>
        <w:pStyle w:val="Normal"/>
        <w:rPr/>
      </w:pPr>
      <w:r>
        <w:rPr/>
        <w:t>N</w:t>
      </w:r>
      <w:r>
        <w:rPr>
          <w:color w:val="auto"/>
        </w:rPr>
        <w:t>ote:</w:t>
      </w:r>
      <w:r>
        <w:rPr>
          <w:color w:val="auto"/>
        </w:rPr>
        <w:t xml:space="preserve"> later we talked about commission the hall and the experiment with 2-pass beam (beam line and target checkout, some optics). </w:t>
      </w:r>
      <w:r>
        <w:rPr>
          <w:color w:val="auto"/>
        </w:rPr>
        <w:t>But this cannot save Moller commissioning because Moller needs to be commissioned at each energy/pass. Thus we will not require polarization nor Moller work for 2-pass.</w:t>
      </w:r>
    </w:p>
    <w:p>
      <w:pPr>
        <w:pStyle w:val="Normal"/>
        <w:rPr/>
      </w:pPr>
      <w:r>
        <w:rPr/>
      </w:r>
    </w:p>
    <w:p>
      <w:pPr>
        <w:pStyle w:val="Normal"/>
        <w:rPr>
          <w:color w:val="auto"/>
        </w:rPr>
      </w:pPr>
      <w:r>
        <w:rPr>
          <w:color w:val="auto"/>
        </w:rPr>
        <w:t>Prepar</w:t>
      </w:r>
      <w:r>
        <w:rPr>
          <w:color w:val="auto"/>
        </w:rPr>
        <w:t>e for</w:t>
      </w:r>
      <w:r>
        <w:rPr>
          <w:color w:val="auto"/>
        </w:rPr>
        <w:t xml:space="preserve"> run:</w:t>
      </w:r>
    </w:p>
    <w:p>
      <w:pPr>
        <w:pStyle w:val="Normal"/>
        <w:rPr>
          <w:color w:val="FF00CC"/>
        </w:rPr>
      </w:pPr>
      <w:r>
        <w:rPr>
          <w:color w:val="auto"/>
        </w:rPr>
        <w:t xml:space="preserve">- Moller measurement should only be done by a small group of experts. Need two measurements per week by two people. The two will be Dave Gaskell </w:t>
      </w:r>
      <w:r>
        <w:rPr>
          <w:color w:val="FF00CC"/>
        </w:rPr>
        <w:t>plus one person from the collaboration.</w:t>
      </w:r>
    </w:p>
    <w:p>
      <w:pPr>
        <w:pStyle w:val="Normal"/>
        <w:rPr>
          <w:color w:val="FF00CC"/>
        </w:rPr>
      </w:pPr>
      <w:r>
        <w:rPr>
          <w:color w:val="FF00CC"/>
        </w:rPr>
        <w:t>- Someone from the collaboration needs to track the time dependence of the polarization, and help to determine if extra measurements are needed.  Examples are QE change, spot move, heating??, Wien angle change, etc.</w:t>
      </w:r>
    </w:p>
    <w:p>
      <w:pPr>
        <w:pStyle w:val="Normal"/>
        <w:rPr>
          <w:color w:val="FF00CC"/>
        </w:rPr>
      </w:pPr>
      <w:r>
        <w:rPr>
          <w:color w:val="FF00CC"/>
        </w:rPr>
        <w:t>- Need someone from the collaboration to do Moller analysis, comparison with Monte Carlo etc (student).</w:t>
      </w:r>
    </w:p>
    <w:p>
      <w:pPr>
        <w:pStyle w:val="Normal"/>
        <w:rPr>
          <w:color w:val="auto"/>
        </w:rPr>
      </w:pPr>
      <w:r>
        <w:rPr>
          <w:color w:val="auto"/>
        </w:rPr>
        <w:t>- not urgent, but Moller analyzer is written in Fortran, with some upgraded to C++/ROOT. Need a modern version, someone interested in coding and with plenty of time might want to work on this.</w:t>
      </w:r>
    </w:p>
    <w:p>
      <w:pPr>
        <w:pStyle w:val="Normal"/>
        <w:rPr/>
      </w:pPr>
      <w:r>
        <w:rPr/>
      </w:r>
    </w:p>
    <w:p>
      <w:pPr>
        <w:pStyle w:val="Normal"/>
        <w:rPr>
          <w:i/>
          <w:i/>
          <w:iCs/>
          <w:color w:val="009900"/>
        </w:rPr>
      </w:pPr>
      <w:r>
        <w:rPr>
          <w:i/>
          <w:iCs/>
          <w:color w:val="009900"/>
        </w:rPr>
        <w:t>From Dec ‘18 meeting:</w:t>
      </w:r>
    </w:p>
    <w:p>
      <w:pPr>
        <w:pStyle w:val="Normal"/>
        <w:rPr>
          <w:i/>
          <w:i/>
          <w:iCs/>
          <w:color w:val="009900"/>
        </w:rPr>
      </w:pPr>
      <w:r>
        <w:rPr>
          <w:i/>
          <w:iCs/>
          <w:color w:val="009900"/>
        </w:rPr>
        <w:t xml:space="preserve">– </w:t>
      </w:r>
      <w:r>
        <w:rPr>
          <w:i/>
          <w:iCs/>
          <w:color w:val="009900"/>
        </w:rPr>
        <w:t xml:space="preserve">pipe on beamline needed for beam alignment – (D.G.) as of July 2019 this has not been installed yet but design is completed and parts fabricated. </w:t>
      </w:r>
    </w:p>
    <w:p>
      <w:pPr>
        <w:pStyle w:val="Normal"/>
        <w:rPr>
          <w:i/>
          <w:i/>
          <w:iCs/>
          <w:color w:val="009900"/>
        </w:rPr>
      </w:pPr>
      <w:r>
        <w:rPr>
          <w:i/>
          <w:iCs/>
          <w:color w:val="009900"/>
        </w:rPr>
        <w:t xml:space="preserve">– </w:t>
      </w:r>
      <w:r>
        <w:rPr>
          <w:i/>
          <w:iCs/>
          <w:color w:val="009900"/>
        </w:rPr>
        <w:t>There were discussions about how to protect the Be window from air during target rotation – need followup;</w:t>
      </w:r>
    </w:p>
    <w:p>
      <w:pPr>
        <w:pStyle w:val="Normal"/>
        <w:rPr>
          <w:b/>
          <w:b/>
          <w:bCs/>
        </w:rPr>
      </w:pPr>
      <w:r>
        <w:rPr/>
      </w:r>
    </w:p>
    <w:p>
      <w:pPr>
        <w:pStyle w:val="Normal"/>
        <w:rPr/>
      </w:pPr>
      <w:r>
        <w:rPr>
          <w:b/>
          <w:bCs/>
        </w:rPr>
        <w:t>Mark J.</w:t>
      </w:r>
      <w:r>
        <w:rPr>
          <w:b/>
          <w:bCs/>
        </w:rPr>
        <w:t xml:space="preserve"> (</w:t>
      </w:r>
      <w:r>
        <w:rPr>
          <w:b/>
          <w:bCs/>
        </w:rPr>
        <w:t>raster</w:t>
      </w:r>
      <w:r>
        <w:rPr>
          <w:b/>
          <w:bCs/>
        </w:rPr>
        <w:t>)</w:t>
      </w:r>
    </w:p>
    <w:p>
      <w:pPr>
        <w:pStyle w:val="Normal"/>
        <w:rPr/>
      </w:pPr>
      <w:r>
        <w:rPr/>
        <w:t xml:space="preserve">Q (audience): Does the accelerator have the raster controller modified? </w:t>
      </w:r>
    </w:p>
    <w:p>
      <w:pPr>
        <w:pStyle w:val="Normal"/>
        <w:rPr/>
      </w:pPr>
      <w:r>
        <w:rPr/>
        <w:t>MJ: Chris C. has talked to them.. (is it done then??)</w:t>
      </w:r>
    </w:p>
    <w:p>
      <w:pPr>
        <w:pStyle w:val="Normal"/>
        <w:rPr/>
      </w:pPr>
      <w:r>
        <w:rPr/>
      </w:r>
    </w:p>
    <w:p>
      <w:pPr>
        <w:pStyle w:val="Normal"/>
        <w:rPr/>
      </w:pPr>
      <w:r>
        <w:rPr/>
        <w:t xml:space="preserve">- </w:t>
      </w:r>
      <w:r>
        <w:rPr/>
        <w:t>Revisted the hot spot problem: Currently showing ~50% higher central hot spot. As discussed in December 2018 meeting: We need 10%, g2p reached 10% after a student’s hard work. etc.</w:t>
      </w:r>
    </w:p>
    <w:p>
      <w:pPr>
        <w:pStyle w:val="Normal"/>
        <w:rPr/>
      </w:pPr>
      <w:r>
        <w:rPr/>
      </w:r>
    </w:p>
    <w:p>
      <w:pPr>
        <w:pStyle w:val="Normal"/>
        <w:rPr/>
      </w:pPr>
      <w:r>
        <w:rPr/>
        <w:t>MJ: Hall C is slow raster alone, Hall A has both slow and fast raster (???).</w:t>
      </w:r>
    </w:p>
    <w:p>
      <w:pPr>
        <w:pStyle w:val="Normal"/>
        <w:rPr/>
      </w:pPr>
      <w:r>
        <w:rPr/>
        <w:t xml:space="preserve">JP: Doesn’t matter. g2p reached 10% uniformity with slow raster alone. </w:t>
      </w:r>
    </w:p>
    <w:p>
      <w:pPr>
        <w:pStyle w:val="Normal"/>
        <w:rPr/>
      </w:pPr>
      <w:r>
        <w:rPr/>
      </w:r>
    </w:p>
    <w:p>
      <w:pPr>
        <w:pStyle w:val="Normal"/>
        <w:rPr/>
      </w:pPr>
      <w:r>
        <w:rPr/>
        <w:t>Would be good to have a student help with raster work.</w:t>
      </w:r>
    </w:p>
    <w:p>
      <w:pPr>
        <w:pStyle w:val="Normal"/>
        <w:rPr/>
      </w:pPr>
      <w:r>
        <w:rPr/>
      </w:r>
    </w:p>
    <w:p>
      <w:pPr>
        <w:pStyle w:val="Normal"/>
        <w:rPr/>
      </w:pPr>
      <w:r>
        <w:rPr/>
        <w:t>(XZ): do we have a scope showing real-time raster pattern in the counting house?</w:t>
      </w:r>
    </w:p>
    <w:p>
      <w:pPr>
        <w:pStyle w:val="Normal"/>
        <w:rPr/>
      </w:pPr>
      <w:r>
        <w:rPr/>
      </w:r>
    </w:p>
    <w:p>
      <w:pPr>
        <w:pStyle w:val="Normal"/>
        <w:rPr/>
      </w:pPr>
      <w:r>
        <w:rPr/>
      </w:r>
    </w:p>
    <w:p>
      <w:pPr>
        <w:pStyle w:val="Normal"/>
        <w:rPr>
          <w:color w:val="FF3333"/>
        </w:rPr>
      </w:pPr>
      <w:r>
        <w:rPr>
          <w:color w:val="FF3333"/>
        </w:rPr>
      </w:r>
    </w:p>
    <w:p>
      <w:pPr>
        <w:pStyle w:val="Normal"/>
        <w:rPr/>
      </w:pPr>
      <w:r>
        <w:rPr>
          <w:b/>
          <w:bCs/>
          <w:color w:val="auto"/>
        </w:rPr>
        <w:t>Caryn P. (Beam asymmetry “Aq” control):</w:t>
      </w:r>
    </w:p>
    <w:p>
      <w:pPr>
        <w:pStyle w:val="Normal"/>
        <w:rPr>
          <w:b/>
          <w:b/>
          <w:bCs/>
          <w:color w:val="auto"/>
        </w:rPr>
      </w:pPr>
      <w:r>
        <w:rPr/>
      </w:r>
    </w:p>
    <w:p>
      <w:pPr>
        <w:pStyle w:val="Normal"/>
        <w:rPr>
          <w:b w:val="false"/>
          <w:b w:val="false"/>
          <w:bCs w:val="false"/>
        </w:rPr>
      </w:pPr>
      <w:r>
        <w:rPr>
          <w:b w:val="false"/>
          <w:bCs w:val="false"/>
          <w:color w:val="auto"/>
        </w:rPr>
        <w:t xml:space="preserve">- </w:t>
      </w:r>
      <w:r>
        <w:rPr>
          <w:b w:val="false"/>
          <w:bCs w:val="false"/>
          <w:color w:val="auto"/>
        </w:rPr>
        <w:t>Reminder: Requirement from A1n/d2n is &lt;200ppm(A1n) or 100ppm(d2n) per hour-long run. “Both can be done” (CP).</w:t>
      </w:r>
    </w:p>
    <w:p>
      <w:pPr>
        <w:pStyle w:val="Normal"/>
        <w:rPr>
          <w:color w:val="auto"/>
        </w:rPr>
      </w:pPr>
      <w:r>
        <w:rPr>
          <w:b w:val="false"/>
          <w:bCs w:val="false"/>
        </w:rPr>
      </w:r>
    </w:p>
    <w:p>
      <w:pPr>
        <w:pStyle w:val="Normal"/>
        <w:rPr>
          <w:b w:val="false"/>
          <w:b w:val="false"/>
          <w:bCs w:val="false"/>
        </w:rPr>
      </w:pPr>
      <w:r>
        <w:rPr>
          <w:b w:val="false"/>
          <w:bCs w:val="false"/>
          <w:color w:val="auto"/>
        </w:rPr>
        <w:t xml:space="preserve">- </w:t>
      </w:r>
      <w:r>
        <w:rPr>
          <w:b w:val="false"/>
          <w:bCs w:val="false"/>
          <w:color w:val="auto"/>
        </w:rPr>
        <w:t>Aq is mostly determined by the IA cell of Hall C;</w:t>
      </w:r>
    </w:p>
    <w:p>
      <w:pPr>
        <w:pStyle w:val="Normal"/>
        <w:rPr>
          <w:b w:val="false"/>
          <w:b w:val="false"/>
          <w:bCs w:val="false"/>
        </w:rPr>
      </w:pPr>
      <w:r>
        <w:rPr>
          <w:b w:val="false"/>
          <w:bCs w:val="false"/>
          <w:color w:val="auto"/>
        </w:rPr>
        <w:t>- when PREX/CREX runs, the parity DAQ/HAPPEX feedback monitor does feedback on Hall C Aq and control it.</w:t>
      </w:r>
    </w:p>
    <w:p>
      <w:pPr>
        <w:pStyle w:val="Normal"/>
        <w:rPr>
          <w:b w:val="false"/>
          <w:b w:val="false"/>
          <w:bCs w:val="false"/>
        </w:rPr>
      </w:pPr>
      <w:r>
        <w:rPr>
          <w:b w:val="false"/>
          <w:bCs w:val="false"/>
          <w:color w:val="auto"/>
        </w:rPr>
        <w:t xml:space="preserve">- some data taken this summer, </w:t>
      </w:r>
      <w:r>
        <w:rPr>
          <w:b w:val="false"/>
          <w:bCs w:val="false"/>
          <w:color w:val="auto"/>
        </w:rPr>
        <w:t>without feedback Aq was 200ppm every minute. W</w:t>
      </w:r>
      <w:r>
        <w:rPr>
          <w:b w:val="false"/>
          <w:bCs w:val="false"/>
          <w:color w:val="auto"/>
        </w:rPr>
        <w:t xml:space="preserve">ith feedback adjustment every minute, shows ~+/-30ppm Aq </w:t>
      </w:r>
      <w:r>
        <w:rPr>
          <w:b w:val="false"/>
          <w:bCs w:val="false"/>
          <w:color w:val="auto"/>
        </w:rPr>
        <w:t>per</w:t>
      </w:r>
      <w:r>
        <w:rPr>
          <w:b w:val="false"/>
          <w:bCs w:val="false"/>
          <w:color w:val="auto"/>
        </w:rPr>
        <w:t xml:space="preserve"> minute, </w:t>
      </w:r>
      <w:r>
        <w:rPr>
          <w:b w:val="false"/>
          <w:bCs w:val="false"/>
          <w:color w:val="auto"/>
        </w:rPr>
        <w:t>accumulated Aq drops to &lt;1ppm after 30 minutes.</w:t>
      </w:r>
    </w:p>
    <w:p>
      <w:pPr>
        <w:pStyle w:val="Normal"/>
        <w:rPr>
          <w:b w:val="false"/>
          <w:b w:val="false"/>
          <w:bCs w:val="false"/>
        </w:rPr>
      </w:pPr>
      <w:r>
        <w:rPr>
          <w:b w:val="false"/>
          <w:bCs w:val="false"/>
          <w:color w:val="auto"/>
        </w:rPr>
        <w:t xml:space="preserve">- </w:t>
      </w:r>
      <w:r>
        <w:rPr>
          <w:b w:val="false"/>
          <w:bCs w:val="false"/>
          <w:color w:val="auto"/>
        </w:rPr>
        <w:t>for fall/spring, may ease up on feedback interval (currently every minute).</w:t>
      </w:r>
    </w:p>
    <w:p>
      <w:pPr>
        <w:pStyle w:val="Normal"/>
        <w:rPr>
          <w:color w:val="auto"/>
        </w:rPr>
      </w:pPr>
      <w:r>
        <w:rPr>
          <w:b w:val="false"/>
          <w:bCs w:val="false"/>
        </w:rPr>
      </w:r>
    </w:p>
    <w:p>
      <w:pPr>
        <w:pStyle w:val="Normal"/>
        <w:rPr>
          <w:b w:val="false"/>
          <w:b w:val="false"/>
          <w:bCs w:val="false"/>
        </w:rPr>
      </w:pPr>
      <w:r>
        <w:rPr>
          <w:b w:val="false"/>
          <w:bCs w:val="false"/>
          <w:color w:val="auto"/>
        </w:rPr>
        <w:t>Prepare for run:</w:t>
      </w:r>
    </w:p>
    <w:p>
      <w:pPr>
        <w:pStyle w:val="Normal"/>
        <w:rPr>
          <w:b w:val="false"/>
          <w:b w:val="false"/>
          <w:bCs w:val="false"/>
        </w:rPr>
      </w:pPr>
      <w:r>
        <w:rPr>
          <w:b w:val="false"/>
          <w:bCs w:val="false"/>
          <w:color w:val="auto"/>
        </w:rPr>
        <w:t>- To control Hall C Aq we need Hall A parity DAQ/feedback control to run all the time.</w:t>
      </w:r>
    </w:p>
    <w:p>
      <w:pPr>
        <w:pStyle w:val="Normal"/>
        <w:rPr>
          <w:b w:val="false"/>
          <w:b w:val="false"/>
          <w:bCs w:val="false"/>
        </w:rPr>
      </w:pPr>
      <w:r>
        <w:rPr>
          <w:b w:val="false"/>
          <w:bCs w:val="false"/>
          <w:color w:val="auto"/>
        </w:rPr>
        <w:t>- (Brad) need tracking all information (QIA etc) in Hall C EPICS. QIA (and other important settings) should also be in the alarm handler.</w:t>
      </w:r>
    </w:p>
    <w:p>
      <w:pPr>
        <w:pStyle w:val="Normal"/>
        <w:rPr>
          <w:b w:val="false"/>
          <w:b w:val="false"/>
          <w:bCs w:val="false"/>
        </w:rPr>
      </w:pPr>
      <w:r>
        <w:rPr>
          <w:b w:val="false"/>
          <w:bCs w:val="false"/>
          <w:color w:val="auto"/>
        </w:rPr>
        <w:t>- (Xiaochao) should have those parity settings in the shift checklist too.</w:t>
      </w:r>
    </w:p>
    <w:p>
      <w:pPr>
        <w:pStyle w:val="Normal"/>
        <w:rPr>
          <w:b w:val="false"/>
          <w:b w:val="false"/>
          <w:bCs w:val="false"/>
        </w:rPr>
      </w:pPr>
      <w:r>
        <w:rPr>
          <w:b w:val="false"/>
          <w:bCs w:val="false"/>
          <w:color w:val="auto"/>
        </w:rPr>
        <w:t>- There will be a ~2 weeks period where Hall C runs after Hall A finished CREX. We need to involve some PREX/CREX expertise in our collaboration for the whole run, and keep the parity DAQ running when A is not taking data. (Possible names: Paul King, Amali...)</w:t>
      </w:r>
    </w:p>
    <w:p>
      <w:pPr>
        <w:pStyle w:val="Normal"/>
        <w:rPr>
          <w:b w:val="false"/>
          <w:b w:val="false"/>
          <w:bCs w:val="false"/>
        </w:rPr>
      </w:pPr>
      <w:r>
        <w:rPr>
          <w:b w:val="false"/>
          <w:bCs w:val="false"/>
          <w:color w:val="auto"/>
        </w:rPr>
        <w:t>- Our shifters need to know how to monitor/run parity DAQ.</w:t>
      </w:r>
    </w:p>
    <w:p>
      <w:pPr>
        <w:pStyle w:val="Normal"/>
        <w:rPr/>
      </w:pPr>
      <w:r>
        <w:rPr/>
      </w:r>
    </w:p>
    <w:p>
      <w:pPr>
        <w:pStyle w:val="Normal"/>
        <w:rPr>
          <w:i/>
          <w:i/>
          <w:iCs/>
          <w:color w:val="009900"/>
        </w:rPr>
      </w:pPr>
      <w:r>
        <w:rPr>
          <w:i/>
          <w:iCs/>
          <w:color w:val="009900"/>
        </w:rPr>
        <w:t>From Dec ‘18 meeting:</w:t>
      </w:r>
    </w:p>
    <w:p>
      <w:pPr>
        <w:pStyle w:val="Normal"/>
        <w:rPr>
          <w:i/>
          <w:i/>
          <w:iCs/>
          <w:color w:val="009900"/>
        </w:rPr>
      </w:pPr>
      <w:r>
        <w:rPr>
          <w:i/>
          <w:iCs/>
          <w:color w:val="009900"/>
        </w:rPr>
        <w:t xml:space="preserve">– </w:t>
      </w:r>
      <w:r>
        <w:rPr>
          <w:i/>
          <w:iCs/>
          <w:color w:val="009900"/>
        </w:rPr>
        <w:t xml:space="preserve">Q: what is the actual change in energy </w:t>
      </w:r>
      <w:r>
        <w:rPr>
          <w:i/>
          <w:iCs/>
          <w:color w:val="009900"/>
        </w:rPr>
        <w:t>during Hall A beam modulation</w:t>
      </w:r>
      <w:r>
        <w:rPr>
          <w:i/>
          <w:iCs/>
          <w:color w:val="009900"/>
        </w:rPr>
        <w:t xml:space="preserve">? </w:t>
      </w:r>
      <w:r>
        <w:rPr>
          <w:i/>
          <w:iCs/>
          <w:color w:val="FF3333"/>
        </w:rPr>
        <w:t xml:space="preserve">– </w:t>
      </w:r>
      <w:r>
        <w:rPr>
          <w:i/>
          <w:iCs/>
          <w:color w:val="FF3333"/>
        </w:rPr>
        <w:t>Chip will find out;</w:t>
      </w:r>
      <w:r>
        <w:rPr>
          <w:i/>
          <w:iCs/>
          <w:color w:val="009900"/>
        </w:rPr>
        <w:t xml:space="preserve"> </w:t>
      </w:r>
      <w:r>
        <w:rPr>
          <w:i/>
          <w:iCs/>
          <w:color w:val="009900"/>
        </w:rPr>
        <w:t>– this can be important for elastic calibrations at 1-pass. General consensus is this should not be larger than “normal” noise.</w:t>
      </w:r>
    </w:p>
    <w:p>
      <w:pPr>
        <w:pStyle w:val="Normal"/>
        <w:rPr>
          <w:i/>
          <w:i/>
          <w:iCs/>
          <w:color w:val="009900"/>
        </w:rPr>
      </w:pPr>
      <w:r>
        <w:rPr>
          <w:i/>
          <w:iCs/>
          <w:color w:val="009900"/>
        </w:rPr>
        <w:t xml:space="preserve">– </w:t>
      </w:r>
      <w:r>
        <w:rPr>
          <w:i/>
          <w:iCs/>
          <w:color w:val="009900"/>
        </w:rPr>
        <w:t>followup Q: If Hall A is off during our 1pass calibration run, will modulation be off for sure, or do we need to remind Hall A to turn it off?</w:t>
      </w:r>
    </w:p>
    <w:p>
      <w:pPr>
        <w:pStyle w:val="Normal"/>
        <w:rPr>
          <w:i/>
          <w:i/>
          <w:iCs/>
          <w:color w:val="009900"/>
        </w:rPr>
      </w:pPr>
      <w:r>
        <w:rPr>
          <w:i/>
          <w:iCs/>
          <w:color w:val="009900"/>
        </w:rPr>
        <w:t xml:space="preserve">– </w:t>
      </w:r>
      <w:r>
        <w:rPr>
          <w:i/>
          <w:iCs/>
          <w:color w:val="009900"/>
        </w:rPr>
        <w:t>Need Hall C’s BCM102</w:t>
      </w:r>
      <w:r>
        <w:rPr>
          <w:i/>
          <w:iCs/>
          <w:color w:val="FF3333"/>
        </w:rPr>
        <w:t xml:space="preserve"> </w:t>
      </w:r>
      <w:r>
        <w:rPr>
          <w:i/>
          <w:iCs/>
          <w:color w:val="FF3333"/>
        </w:rPr>
        <w:t>– Brad will follow up.</w:t>
      </w:r>
    </w:p>
    <w:p>
      <w:pPr>
        <w:pStyle w:val="Normal"/>
        <w:rPr>
          <w:color w:val="auto"/>
        </w:rPr>
      </w:pPr>
      <w:r>
        <w:rPr/>
      </w:r>
    </w:p>
    <w:p>
      <w:pPr>
        <w:pStyle w:val="Normal"/>
        <w:rPr>
          <w:color w:val="auto"/>
        </w:rPr>
      </w:pPr>
      <w:r>
        <w:rPr>
          <w:b w:val="false"/>
          <w:bCs w:val="false"/>
          <w:color w:val="FF3333"/>
        </w:rPr>
      </w:r>
    </w:p>
    <w:p>
      <w:pPr>
        <w:pStyle w:val="Normal"/>
        <w:rPr/>
      </w:pPr>
      <w:r>
        <w:rPr>
          <w:b/>
          <w:bCs/>
          <w:color w:val="auto"/>
        </w:rPr>
        <w:t>Jixie Z</w:t>
      </w:r>
      <w:r>
        <w:rPr>
          <w:b/>
          <w:bCs/>
          <w:color w:val="auto"/>
        </w:rPr>
        <w:t>. (</w:t>
      </w:r>
      <w:r>
        <w:rPr>
          <w:b/>
          <w:bCs/>
          <w:color w:val="auto"/>
        </w:rPr>
        <w:t>A1n optics calibration)</w:t>
      </w:r>
    </w:p>
    <w:p>
      <w:pPr>
        <w:pStyle w:val="Normal"/>
        <w:rPr>
          <w:color w:val="auto"/>
        </w:rPr>
      </w:pPr>
      <w:r>
        <w:rPr>
          <w:b w:val="false"/>
          <w:bCs w:val="false"/>
        </w:rPr>
      </w:r>
    </w:p>
    <w:p>
      <w:pPr>
        <w:pStyle w:val="Normal"/>
        <w:rPr>
          <w:b w:val="false"/>
          <w:b w:val="false"/>
          <w:bCs w:val="false"/>
        </w:rPr>
      </w:pPr>
      <w:r>
        <w:rPr>
          <w:b w:val="false"/>
          <w:bCs w:val="false"/>
          <w:color w:val="auto"/>
        </w:rPr>
        <w:t>(</w:t>
      </w:r>
      <w:r>
        <w:rPr>
          <w:b w:val="false"/>
          <w:bCs w:val="false"/>
          <w:color w:val="auto"/>
        </w:rPr>
        <w:t>JP): Hall C HMS must had past data for ytar beyond +/-5.5cm?</w:t>
      </w:r>
    </w:p>
    <w:p>
      <w:pPr>
        <w:pStyle w:val="Normal"/>
        <w:rPr>
          <w:b w:val="false"/>
          <w:b w:val="false"/>
          <w:bCs w:val="false"/>
        </w:rPr>
      </w:pPr>
      <w:r>
        <w:rPr>
          <w:b w:val="false"/>
          <w:bCs w:val="false"/>
          <w:color w:val="auto"/>
        </w:rPr>
        <w:t>(MJ): no, longest target was 10cm LH2 and only ran up to 60 deg.</w:t>
      </w:r>
    </w:p>
    <w:p>
      <w:pPr>
        <w:pStyle w:val="Normal"/>
        <w:rPr>
          <w:b/>
          <w:b/>
          <w:bCs/>
          <w:color w:val="auto"/>
        </w:rPr>
      </w:pPr>
      <w:r>
        <w:rPr/>
      </w:r>
    </w:p>
    <w:p>
      <w:pPr>
        <w:pStyle w:val="Normal"/>
        <w:rPr>
          <w:b w:val="false"/>
          <w:b w:val="false"/>
          <w:bCs w:val="false"/>
        </w:rPr>
      </w:pPr>
      <w:r>
        <w:rPr>
          <w:b w:val="false"/>
          <w:bCs w:val="false"/>
          <w:color w:val="auto"/>
        </w:rPr>
        <w:t>(Thia): reminded HMS ytarg acceptance is only +/-8cm.</w:t>
      </w:r>
    </w:p>
    <w:p>
      <w:pPr>
        <w:pStyle w:val="Normal"/>
        <w:rPr>
          <w:color w:val="auto"/>
        </w:rPr>
      </w:pPr>
      <w:r>
        <w:rPr>
          <w:b w:val="false"/>
          <w:bCs w:val="false"/>
        </w:rPr>
      </w:r>
    </w:p>
    <w:p>
      <w:pPr>
        <w:pStyle w:val="Normal"/>
        <w:rPr>
          <w:b w:val="false"/>
          <w:b w:val="false"/>
          <w:bCs w:val="false"/>
        </w:rPr>
      </w:pPr>
      <w:r>
        <w:rPr>
          <w:b w:val="false"/>
          <w:bCs w:val="false"/>
          <w:color w:val="auto"/>
        </w:rPr>
        <w:t xml:space="preserve">– </w:t>
      </w:r>
      <w:r>
        <w:rPr>
          <w:b w:val="false"/>
          <w:bCs w:val="false"/>
          <w:color w:val="auto"/>
        </w:rPr>
        <w:t>can we use 1-mm dia carbon hole to calibrate raster size?</w:t>
      </w:r>
    </w:p>
    <w:p>
      <w:pPr>
        <w:pStyle w:val="Normal"/>
        <w:rPr>
          <w:b w:val="false"/>
          <w:b w:val="false"/>
          <w:bCs w:val="false"/>
        </w:rPr>
      </w:pPr>
      <w:r>
        <w:rPr>
          <w:b w:val="false"/>
          <w:bCs w:val="false"/>
          <w:color w:val="auto"/>
        </w:rPr>
        <w:t>(JP, Brad): we use this only to align the beam. Using hole size to judge raster size quickly online is okay, but not for “raster calibration” (of course)!</w:t>
      </w:r>
    </w:p>
    <w:p>
      <w:pPr>
        <w:pStyle w:val="Normal"/>
        <w:rPr>
          <w:color w:val="auto"/>
        </w:rPr>
      </w:pPr>
      <w:r>
        <w:rPr>
          <w:b w:val="false"/>
          <w:bCs w:val="false"/>
        </w:rPr>
      </w:r>
    </w:p>
    <w:p>
      <w:pPr>
        <w:pStyle w:val="Normal"/>
        <w:rPr>
          <w:b w:val="false"/>
          <w:b w:val="false"/>
          <w:bCs w:val="false"/>
        </w:rPr>
      </w:pPr>
      <w:r>
        <w:rPr>
          <w:b w:val="false"/>
          <w:bCs w:val="false"/>
          <w:color w:val="auto"/>
        </w:rPr>
        <w:t xml:space="preserve">slide 4: (Thia, JP, Brad) why using 2 foil carbon target? </w:t>
      </w:r>
      <w:r>
        <w:rPr>
          <w:b w:val="false"/>
          <w:bCs w:val="false"/>
          <w:color w:val="FF3333"/>
        </w:rPr>
        <w:t>Should use 7 foil.</w:t>
      </w:r>
    </w:p>
    <w:p>
      <w:pPr>
        <w:pStyle w:val="Normal"/>
        <w:rPr>
          <w:b w:val="false"/>
          <w:b w:val="false"/>
          <w:bCs w:val="false"/>
        </w:rPr>
      </w:pPr>
      <w:r>
        <w:rPr>
          <w:b w:val="false"/>
          <w:bCs w:val="false"/>
          <w:color w:val="auto"/>
        </w:rPr>
        <w:t>(JZ): events that hits the tungsten plate may only lose energy and still enter spectrometer.</w:t>
      </w:r>
    </w:p>
    <w:p>
      <w:pPr>
        <w:pStyle w:val="Normal"/>
        <w:rPr>
          <w:b w:val="false"/>
          <w:b w:val="false"/>
          <w:bCs w:val="false"/>
        </w:rPr>
      </w:pPr>
      <w:r>
        <w:rPr>
          <w:b w:val="false"/>
          <w:bCs w:val="false"/>
          <w:color w:val="auto"/>
        </w:rPr>
        <w:t>(others): no, they are completely stopped.</w:t>
      </w:r>
    </w:p>
    <w:p>
      <w:pPr>
        <w:pStyle w:val="Normal"/>
        <w:rPr>
          <w:color w:val="auto"/>
        </w:rPr>
      </w:pPr>
      <w:r>
        <w:rPr>
          <w:b w:val="false"/>
          <w:bCs w:val="false"/>
        </w:rPr>
      </w:r>
    </w:p>
    <w:p>
      <w:pPr>
        <w:pStyle w:val="Normal"/>
        <w:rPr>
          <w:b w:val="false"/>
          <w:b w:val="false"/>
          <w:bCs w:val="false"/>
        </w:rPr>
      </w:pPr>
      <w:r>
        <w:rPr>
          <w:b w:val="false"/>
          <w:bCs w:val="false"/>
          <w:color w:val="auto"/>
        </w:rPr>
        <w:t>slide 5: correlation. (MJ) what is shown is for all orders. So this is indeed a good evidence there is no correlation between dP and angle at all.</w:t>
      </w:r>
    </w:p>
    <w:p>
      <w:pPr>
        <w:pStyle w:val="Normal"/>
        <w:rPr>
          <w:color w:val="auto"/>
        </w:rPr>
      </w:pPr>
      <w:r>
        <w:rPr>
          <w:b w:val="false"/>
          <w:bCs w:val="false"/>
        </w:rPr>
      </w:r>
    </w:p>
    <w:p>
      <w:pPr>
        <w:pStyle w:val="Normal"/>
        <w:rPr>
          <w:b w:val="false"/>
          <w:b w:val="false"/>
          <w:bCs w:val="false"/>
        </w:rPr>
      </w:pPr>
      <w:r>
        <w:rPr>
          <w:b w:val="false"/>
          <w:bCs w:val="false"/>
          <w:color w:val="auto"/>
        </w:rPr>
        <w:t xml:space="preserve">- </w:t>
      </w:r>
      <w:r>
        <w:rPr>
          <w:b w:val="false"/>
          <w:bCs w:val="false"/>
          <w:color w:val="auto"/>
        </w:rPr>
        <w:t xml:space="preserve">for carbon elastic calibration, we need to turn off all but 2 scintillator bars. </w:t>
      </w:r>
      <w:r>
        <w:rPr>
          <w:b w:val="false"/>
          <w:bCs w:val="false"/>
          <w:color w:val="FF3333"/>
        </w:rPr>
        <w:t>Need to check simulation with real data to confirm scintillator bar position.</w:t>
      </w:r>
    </w:p>
    <w:p>
      <w:pPr>
        <w:pStyle w:val="Normal"/>
        <w:rPr>
          <w:b w:val="false"/>
          <w:b w:val="false"/>
          <w:bCs w:val="false"/>
        </w:rPr>
      </w:pPr>
      <w:r>
        <w:rPr>
          <w:b w:val="false"/>
          <w:bCs w:val="false"/>
          <w:color w:val="auto"/>
        </w:rPr>
        <w:t>(MJ): simulation vs. data match really well on the focal plane. HMS is better understood/known, but SHMS is also quite good.</w:t>
      </w:r>
    </w:p>
    <w:p>
      <w:pPr>
        <w:pStyle w:val="Normal"/>
        <w:rPr>
          <w:b w:val="false"/>
          <w:b w:val="false"/>
          <w:bCs w:val="false"/>
          <w:color w:val="auto"/>
        </w:rPr>
      </w:pPr>
      <w:r>
        <w:rPr>
          <w:b w:val="false"/>
          <w:bCs w:val="false"/>
          <w:color w:val="auto"/>
        </w:rPr>
        <w:t>- need to be able to quickly determine online whether the scintillators kept on are the correct ones.</w:t>
      </w:r>
    </w:p>
    <w:p>
      <w:pPr>
        <w:pStyle w:val="Normal"/>
        <w:rPr>
          <w:color w:val="auto"/>
        </w:rPr>
      </w:pPr>
      <w:r>
        <w:rPr>
          <w:b w:val="false"/>
          <w:bCs w:val="false"/>
        </w:rPr>
      </w:r>
    </w:p>
    <w:p>
      <w:pPr>
        <w:pStyle w:val="Normal"/>
        <w:rPr>
          <w:color w:val="auto"/>
        </w:rPr>
      </w:pPr>
      <w:r>
        <w:rPr>
          <w:b w:val="false"/>
          <w:bCs w:val="false"/>
        </w:rPr>
      </w:r>
    </w:p>
    <w:p>
      <w:pPr>
        <w:pStyle w:val="Normal"/>
        <w:rPr>
          <w:b w:val="false"/>
          <w:b w:val="false"/>
          <w:bCs w:val="false"/>
        </w:rPr>
      </w:pPr>
      <w:r>
        <w:rPr>
          <w:b w:val="false"/>
          <w:bCs w:val="false"/>
          <w:color w:val="auto"/>
        </w:rPr>
        <w:t>p8: angle calibration using sieve slits. Require 25 events for center (small) hole, for each foil. Tried 30 deg and different passes.</w:t>
      </w:r>
    </w:p>
    <w:p>
      <w:pPr>
        <w:pStyle w:val="Normal"/>
        <w:rPr>
          <w:b w:val="false"/>
          <w:b w:val="false"/>
          <w:bCs w:val="false"/>
        </w:rPr>
      </w:pPr>
      <w:r>
        <w:rPr>
          <w:b w:val="false"/>
          <w:bCs w:val="false"/>
          <w:color w:val="auto"/>
        </w:rPr>
        <w:t>p12: 30-deg using 5-pass requires 900 minutes! (too long). But 2-pass requires only 160 min.</w:t>
      </w:r>
    </w:p>
    <w:p>
      <w:pPr>
        <w:pStyle w:val="Normal"/>
        <w:rPr>
          <w:color w:val="auto"/>
        </w:rPr>
      </w:pPr>
      <w:r>
        <w:rPr>
          <w:b w:val="false"/>
          <w:bCs w:val="false"/>
        </w:rPr>
      </w:r>
    </w:p>
    <w:p>
      <w:pPr>
        <w:pStyle w:val="Normal"/>
        <w:rPr>
          <w:b/>
          <w:b/>
          <w:bCs/>
          <w:color w:val="0000FF"/>
        </w:rPr>
      </w:pPr>
      <w:r>
        <w:rPr>
          <w:b/>
          <w:bCs/>
          <w:color w:val="0000FF"/>
        </w:rPr>
        <w:t>We can commission the experiment (beam line and target checkout, aligning beam, angle optics) at 2-pass, do as much as we can, then switch to 1-pass for elastic and Delta calibration and dP calibration.</w:t>
      </w:r>
    </w:p>
    <w:p>
      <w:pPr>
        <w:pStyle w:val="Normal"/>
        <w:rPr>
          <w:color w:val="auto"/>
        </w:rPr>
      </w:pPr>
      <w:r>
        <w:rPr>
          <w:b w:val="false"/>
          <w:bCs w:val="false"/>
        </w:rPr>
      </w:r>
    </w:p>
    <w:p>
      <w:pPr>
        <w:pStyle w:val="Normal"/>
        <w:rPr>
          <w:b w:val="false"/>
          <w:b w:val="false"/>
          <w:bCs w:val="false"/>
        </w:rPr>
      </w:pPr>
      <w:r>
        <w:rPr>
          <w:b w:val="false"/>
          <w:bCs w:val="false"/>
          <w:color w:val="auto"/>
        </w:rPr>
        <w:t>p14: need to redo table with 7-foil.</w:t>
      </w:r>
    </w:p>
    <w:p>
      <w:pPr>
        <w:pStyle w:val="Normal"/>
        <w:rPr>
          <w:color w:val="auto"/>
        </w:rPr>
      </w:pPr>
      <w:r>
        <w:rPr>
          <w:b w:val="false"/>
          <w:bCs w:val="false"/>
        </w:rPr>
      </w:r>
    </w:p>
    <w:p>
      <w:pPr>
        <w:pStyle w:val="Normal"/>
        <w:rPr>
          <w:b w:val="false"/>
          <w:b w:val="false"/>
          <w:bCs w:val="false"/>
        </w:rPr>
      </w:pPr>
      <w:r>
        <w:rPr>
          <w:b w:val="false"/>
          <w:bCs w:val="false"/>
          <w:color w:val="auto"/>
        </w:rPr>
        <w:t>discussion on using DIS events at 30 deg to calibrate angle:</w:t>
      </w:r>
    </w:p>
    <w:p>
      <w:pPr>
        <w:pStyle w:val="Normal"/>
        <w:rPr>
          <w:b w:val="false"/>
          <w:b w:val="false"/>
          <w:bCs w:val="false"/>
        </w:rPr>
      </w:pPr>
      <w:r>
        <w:rPr>
          <w:b w:val="false"/>
          <w:bCs w:val="false"/>
          <w:color w:val="auto"/>
        </w:rPr>
        <w:t>(JP): Can’t do this, holes are spread out.</w:t>
      </w:r>
    </w:p>
    <w:p>
      <w:pPr>
        <w:pStyle w:val="Normal"/>
        <w:rPr>
          <w:b w:val="false"/>
          <w:b w:val="false"/>
          <w:bCs w:val="false"/>
        </w:rPr>
      </w:pPr>
      <w:r>
        <w:rPr>
          <w:b w:val="false"/>
          <w:bCs w:val="false"/>
          <w:color w:val="auto"/>
        </w:rPr>
        <w:t>(MJ): Yes we can!</w:t>
      </w:r>
    </w:p>
    <w:p>
      <w:pPr>
        <w:pStyle w:val="Normal"/>
        <w:rPr>
          <w:b w:val="false"/>
          <w:b w:val="false"/>
          <w:bCs w:val="false"/>
          <w:color w:val="FF3333"/>
        </w:rPr>
      </w:pPr>
      <w:r>
        <w:rPr>
          <w:b w:val="false"/>
          <w:bCs w:val="false"/>
          <w:color w:val="FF3333"/>
        </w:rPr>
        <w:t>- might need to confirm this using existing data – can we see holes using inelastic events?</w:t>
      </w:r>
    </w:p>
    <w:p>
      <w:pPr>
        <w:pStyle w:val="Normal"/>
        <w:rPr>
          <w:color w:val="auto"/>
        </w:rPr>
      </w:pPr>
      <w:r>
        <w:rPr>
          <w:b w:val="false"/>
          <w:bCs w:val="false"/>
        </w:rPr>
      </w:r>
    </w:p>
    <w:p>
      <w:pPr>
        <w:pStyle w:val="Normal"/>
        <w:rPr>
          <w:b w:val="false"/>
          <w:b w:val="false"/>
          <w:bCs w:val="false"/>
        </w:rPr>
      </w:pPr>
      <w:r>
        <w:rPr>
          <w:b w:val="false"/>
          <w:bCs w:val="false"/>
          <w:color w:val="auto"/>
        </w:rPr>
        <w:t xml:space="preserve">- </w:t>
      </w:r>
      <w:r>
        <w:rPr>
          <w:b w:val="false"/>
          <w:bCs w:val="false"/>
          <w:color w:val="auto"/>
        </w:rPr>
        <w:t xml:space="preserve">current limit on current with raster off is 20uA in Hall C. Our solid target can take 30uA (raster on and off, heating on foil holder is similar). </w:t>
      </w:r>
      <w:r>
        <w:rPr>
          <w:b w:val="false"/>
          <w:bCs w:val="false"/>
          <w:color w:val="FF3333"/>
        </w:rPr>
        <w:t>Need to update the raster-off limit to 30.</w:t>
      </w:r>
    </w:p>
    <w:p>
      <w:pPr>
        <w:pStyle w:val="Normal"/>
        <w:rPr>
          <w:color w:val="auto"/>
        </w:rPr>
      </w:pPr>
      <w:r>
        <w:rPr>
          <w:b w:val="false"/>
          <w:bCs w:val="false"/>
        </w:rPr>
      </w:r>
    </w:p>
    <w:p>
      <w:pPr>
        <w:pStyle w:val="Normal"/>
        <w:rPr>
          <w:b w:val="false"/>
          <w:b w:val="false"/>
          <w:bCs w:val="false"/>
        </w:rPr>
      </w:pPr>
      <w:r>
        <w:rPr>
          <w:b w:val="false"/>
          <w:bCs w:val="false"/>
          <w:color w:val="auto"/>
        </w:rPr>
        <w:t>(JP) can’t optics be done with raster on?</w:t>
      </w:r>
    </w:p>
    <w:p>
      <w:pPr>
        <w:pStyle w:val="Normal"/>
        <w:rPr>
          <w:color w:val="auto"/>
        </w:rPr>
      </w:pPr>
      <w:r>
        <w:rPr>
          <w:b w:val="false"/>
          <w:bCs w:val="false"/>
        </w:rPr>
      </w:r>
    </w:p>
    <w:p>
      <w:pPr>
        <w:pStyle w:val="Normal"/>
        <w:rPr>
          <w:b/>
          <w:b/>
          <w:bCs/>
        </w:rPr>
      </w:pPr>
      <w:r>
        <w:rPr>
          <w:b/>
          <w:bCs/>
          <w:color w:val="auto"/>
        </w:rPr>
        <w:t>Mingyu C. (A1n 1pass runplan)</w:t>
      </w:r>
    </w:p>
    <w:p>
      <w:pPr>
        <w:pStyle w:val="Normal"/>
        <w:rPr>
          <w:color w:val="auto"/>
        </w:rPr>
      </w:pPr>
      <w:r>
        <w:rPr>
          <w:b w:val="false"/>
          <w:bCs w:val="false"/>
        </w:rPr>
      </w:r>
    </w:p>
    <w:p>
      <w:pPr>
        <w:pStyle w:val="Normal"/>
        <w:rPr>
          <w:b w:val="false"/>
          <w:b w:val="false"/>
          <w:bCs w:val="false"/>
        </w:rPr>
      </w:pPr>
      <w:r>
        <w:rPr>
          <w:b w:val="false"/>
          <w:bCs w:val="false"/>
          <w:color w:val="auto"/>
        </w:rPr>
        <w:t>- p5 (Brad) need to also keep in mind real rate effect on VDCs and trigger efficiency;</w:t>
      </w:r>
    </w:p>
    <w:p>
      <w:pPr>
        <w:pStyle w:val="Normal"/>
        <w:rPr>
          <w:b w:val="false"/>
          <w:b w:val="false"/>
          <w:bCs w:val="false"/>
        </w:rPr>
      </w:pPr>
      <w:r>
        <w:rPr>
          <w:b w:val="false"/>
          <w:bCs w:val="false"/>
          <w:color w:val="auto"/>
        </w:rPr>
        <w:t>- on elastic PbPt (JP): 3% measurement on one arm is good enough → 3 hours on HMS is good enough.</w:t>
      </w:r>
    </w:p>
    <w:p>
      <w:pPr>
        <w:pStyle w:val="Normal"/>
        <w:rPr>
          <w:color w:val="auto"/>
        </w:rPr>
      </w:pPr>
      <w:r>
        <w:rPr>
          <w:b w:val="false"/>
          <w:bCs w:val="false"/>
        </w:rPr>
      </w:r>
    </w:p>
    <w:p>
      <w:pPr>
        <w:pStyle w:val="Normal"/>
        <w:rPr>
          <w:b w:val="false"/>
          <w:b w:val="false"/>
          <w:bCs w:val="false"/>
        </w:rPr>
      </w:pPr>
      <w:r>
        <w:rPr>
          <w:b w:val="false"/>
          <w:bCs w:val="false"/>
          <w:color w:val="auto"/>
        </w:rPr>
        <w:t>- p6 (TA) reference cell doesn’t go up to 10atm. (It can but it could blow);</w:t>
      </w:r>
    </w:p>
    <w:p>
      <w:pPr>
        <w:pStyle w:val="Normal"/>
        <w:rPr>
          <w:b w:val="false"/>
          <w:b w:val="false"/>
          <w:bCs w:val="false"/>
        </w:rPr>
      </w:pPr>
      <w:r>
        <w:rPr>
          <w:b w:val="false"/>
          <w:bCs w:val="false"/>
          <w:color w:val="auto"/>
        </w:rPr>
        <w:t>(JP) N2 pressure curve needs focus on low pressure.</w:t>
      </w:r>
    </w:p>
    <w:p>
      <w:pPr>
        <w:pStyle w:val="Normal"/>
        <w:rPr>
          <w:b w:val="false"/>
          <w:b w:val="false"/>
          <w:bCs w:val="false"/>
        </w:rPr>
      </w:pPr>
      <w:r>
        <w:rPr>
          <w:b w:val="false"/>
          <w:bCs w:val="false"/>
          <w:color w:val="auto"/>
        </w:rPr>
        <w:t>→</w:t>
      </w:r>
      <w:r>
        <w:rPr>
          <w:b w:val="false"/>
          <w:bCs w:val="false"/>
          <w:color w:val="FF3333"/>
        </w:rPr>
        <w:t xml:space="preserve"> </w:t>
      </w:r>
      <w:r>
        <w:rPr>
          <w:b w:val="false"/>
          <w:bCs w:val="false"/>
          <w:color w:val="FF3333"/>
        </w:rPr>
        <w:t xml:space="preserve">need a detailed list of </w:t>
      </w:r>
      <w:r>
        <w:rPr>
          <w:b w:val="false"/>
          <w:bCs w:val="false"/>
          <w:color w:val="auto"/>
        </w:rPr>
        <w:t>(1) suggested N2 pressure for pressure curve (elastic, 1pass, ideally per cell); (2) suggested He pressure for pressure curve (elastic, 1pass, ideally per cell); (3) suggested H2 pressure for elastic (elastic, 1pass, one time); (4) suggested N2 pressure for dilution (DIS, 5 pass, per kinematics); (5) suggested He pressure for dilution (DIS, 5 pass, per kinematics); and (6) suggested H2 pressure for cross section (DIS, 5 pass, per kinematics).</w:t>
      </w:r>
    </w:p>
    <w:p>
      <w:pPr>
        <w:pStyle w:val="Normal"/>
        <w:rPr>
          <w:color w:val="auto"/>
        </w:rPr>
      </w:pPr>
      <w:r>
        <w:rPr>
          <w:b w:val="false"/>
          <w:bCs w:val="false"/>
        </w:rPr>
      </w:r>
    </w:p>
    <w:p>
      <w:pPr>
        <w:pStyle w:val="Normal"/>
        <w:rPr>
          <w:b w:val="false"/>
          <w:b w:val="false"/>
          <w:bCs w:val="false"/>
        </w:rPr>
      </w:pPr>
      <w:r>
        <w:rPr>
          <w:b w:val="false"/>
          <w:bCs w:val="false"/>
          <w:color w:val="auto"/>
        </w:rPr>
        <w:t>- time needed to change reference cell pressure (TA): about 5 min for 0→ 8 atm; then 1min each to reduce 8 atm → 6 atm, etc.;  &lt;10min to change from H2 to N2;</w:t>
      </w:r>
    </w:p>
    <w:p>
      <w:pPr>
        <w:pStyle w:val="Normal"/>
        <w:rPr>
          <w:color w:val="auto"/>
        </w:rPr>
      </w:pPr>
      <w:r>
        <w:rPr>
          <w:b w:val="false"/>
          <w:bCs w:val="false"/>
        </w:rPr>
      </w:r>
    </w:p>
    <w:p>
      <w:pPr>
        <w:pStyle w:val="Normal"/>
        <w:rPr>
          <w:b w:val="false"/>
          <w:b w:val="false"/>
          <w:bCs w:val="false"/>
        </w:rPr>
      </w:pPr>
      <w:r>
        <w:rPr>
          <w:b w:val="false"/>
          <w:bCs w:val="false"/>
          <w:color w:val="auto"/>
        </w:rPr>
        <w:t>- (JP) When working on the detailed run plan, need to preserve 3He gas. Leave this as last in reference cell for 1-pass run, then first for 5-pass run (or next kinematic setting), etc.</w:t>
      </w:r>
    </w:p>
    <w:p>
      <w:pPr>
        <w:pStyle w:val="Normal"/>
        <w:rPr>
          <w:color w:val="auto"/>
        </w:rPr>
      </w:pPr>
      <w:r>
        <w:rPr>
          <w:b w:val="false"/>
          <w:bCs w:val="false"/>
        </w:rPr>
      </w:r>
    </w:p>
    <w:p>
      <w:pPr>
        <w:pStyle w:val="Normal"/>
        <w:rPr>
          <w:b w:val="false"/>
          <w:b w:val="false"/>
          <w:bCs w:val="false"/>
        </w:rPr>
      </w:pPr>
      <w:r>
        <w:rPr>
          <w:b w:val="false"/>
          <w:bCs w:val="false"/>
          <w:color w:val="auto"/>
        </w:rPr>
        <w:t xml:space="preserve">– </w:t>
      </w:r>
      <w:r>
        <w:rPr>
          <w:b w:val="false"/>
          <w:bCs w:val="false"/>
          <w:color w:val="auto"/>
        </w:rPr>
        <w:t>(JP reminded)</w:t>
      </w:r>
      <w:r>
        <w:rPr>
          <w:b w:val="false"/>
          <w:bCs w:val="false"/>
          <w:color w:val="auto"/>
        </w:rPr>
        <w:t xml:space="preserve"> ideally we need N2 and He pressure curve for every cell. But since it can only be done at elastic/1-pass, we can only do this once in spring and once in fall.</w:t>
      </w:r>
    </w:p>
    <w:p>
      <w:pPr>
        <w:pStyle w:val="Normal"/>
        <w:rPr>
          <w:color w:val="auto"/>
        </w:rPr>
      </w:pPr>
      <w:r>
        <w:rPr>
          <w:b w:val="false"/>
          <w:bCs w:val="false"/>
        </w:rPr>
      </w:r>
    </w:p>
    <w:p>
      <w:pPr>
        <w:pStyle w:val="Normal"/>
        <w:rPr>
          <w:color w:val="auto"/>
        </w:rPr>
      </w:pPr>
      <w:r>
        <w:rPr>
          <w:b w:val="false"/>
          <w:bCs w:val="false"/>
        </w:rPr>
      </w:r>
    </w:p>
    <w:p>
      <w:pPr>
        <w:pStyle w:val="Normal"/>
        <w:rPr/>
      </w:pPr>
      <w:r>
        <w:rPr>
          <w:b/>
          <w:bCs/>
          <w:color w:val="auto"/>
        </w:rPr>
        <w:t>Brad S</w:t>
      </w:r>
      <w:r>
        <w:rPr>
          <w:b/>
          <w:bCs/>
          <w:color w:val="auto"/>
        </w:rPr>
        <w:t>. (</w:t>
      </w:r>
      <w:r>
        <w:rPr>
          <w:b/>
          <w:bCs/>
          <w:color w:val="auto"/>
        </w:rPr>
        <w:t>d2n overall</w:t>
      </w:r>
      <w:r>
        <w:rPr>
          <w:b/>
          <w:bCs/>
          <w:color w:val="auto"/>
        </w:rPr>
        <w:t xml:space="preserve"> runplan)</w:t>
      </w:r>
    </w:p>
    <w:p>
      <w:pPr>
        <w:pStyle w:val="Normal"/>
        <w:rPr>
          <w:b/>
          <w:b/>
          <w:bCs/>
          <w:color w:val="auto"/>
        </w:rPr>
      </w:pPr>
      <w:r>
        <w:rPr/>
      </w:r>
    </w:p>
    <w:p>
      <w:pPr>
        <w:pStyle w:val="Normal"/>
        <w:rPr>
          <w:b w:val="false"/>
          <w:b w:val="false"/>
          <w:bCs w:val="false"/>
        </w:rPr>
      </w:pPr>
      <w:r>
        <w:rPr>
          <w:b w:val="false"/>
          <w:bCs w:val="false"/>
          <w:color w:val="auto"/>
        </w:rPr>
        <w:t>(</w:t>
      </w:r>
      <w:r>
        <w:rPr>
          <w:b w:val="false"/>
          <w:bCs w:val="false"/>
          <w:color w:val="auto"/>
        </w:rPr>
        <w:t>XZ): A1n resonance data can only be done on SHMS (8 cal days, one arm). Can d2n balance this by running on HMS only for 8 days? Or should A1n time be re-calculated between HMS/SHMS? – need followup</w:t>
      </w:r>
    </w:p>
    <w:p>
      <w:pPr>
        <w:pStyle w:val="Normal"/>
        <w:rPr>
          <w:b w:val="false"/>
          <w:b w:val="false"/>
          <w:bCs w:val="false"/>
        </w:rPr>
      </w:pPr>
      <w:r>
        <w:rPr>
          <w:b w:val="false"/>
          <w:bCs w:val="false"/>
          <w:color w:val="auto"/>
        </w:rPr>
        <w:t>(JP reminded): for each kinematic setting need 1 run each for H2, N2, 3He ref cell, not pressure curve</w:t>
      </w:r>
    </w:p>
    <w:p>
      <w:pPr>
        <w:pStyle w:val="Normal"/>
        <w:rPr>
          <w:b w:val="false"/>
          <w:b w:val="false"/>
          <w:bCs w:val="false"/>
        </w:rPr>
      </w:pPr>
      <w:r>
        <w:rPr>
          <w:b w:val="false"/>
          <w:bCs w:val="false"/>
          <w:color w:val="auto"/>
        </w:rPr>
        <w:t>(JP): time needed for polarimetry: pNMR can be minutes, NMR or EPR can be one per shift or even less frequent.</w:t>
      </w:r>
    </w:p>
    <w:p>
      <w:pPr>
        <w:pStyle w:val="Normal"/>
        <w:rPr>
          <w:b/>
          <w:b/>
          <w:bCs/>
          <w:color w:val="auto"/>
        </w:rPr>
      </w:pPr>
      <w:r>
        <w:rPr/>
      </w:r>
    </w:p>
    <w:p>
      <w:pPr>
        <w:pStyle w:val="Normal"/>
        <w:rPr>
          <w:i/>
          <w:i/>
          <w:iCs/>
          <w:color w:val="009900"/>
        </w:rPr>
      </w:pPr>
      <w:r>
        <w:rPr>
          <w:i/>
          <w:iCs/>
          <w:color w:val="009900"/>
        </w:rPr>
        <w:t>from Dec ‘18 meeting:</w:t>
      </w:r>
    </w:p>
    <w:p>
      <w:pPr>
        <w:pStyle w:val="Normal"/>
        <w:rPr>
          <w:i/>
          <w:i/>
          <w:iCs/>
          <w:color w:val="009900"/>
        </w:rPr>
      </w:pPr>
      <w:r>
        <w:rPr>
          <w:i/>
          <w:iCs/>
          <w:color w:val="009900"/>
        </w:rPr>
        <w:t>There were discussions about how to protect the Be window from air during target rotation – need followup;</w:t>
      </w:r>
    </w:p>
    <w:p>
      <w:pPr>
        <w:pStyle w:val="Normal"/>
        <w:rPr>
          <w:color w:val="auto"/>
        </w:rPr>
      </w:pPr>
      <w:r>
        <w:rPr>
          <w:b w:val="false"/>
          <w:bCs w:val="false"/>
        </w:rPr>
      </w:r>
    </w:p>
    <w:p>
      <w:pPr>
        <w:pStyle w:val="Normal"/>
        <w:rPr>
          <w:b w:val="false"/>
          <w:b w:val="false"/>
          <w:bCs w:val="false"/>
        </w:rPr>
      </w:pPr>
      <w:r>
        <w:rPr>
          <w:b/>
          <w:bCs/>
          <w:color w:val="auto"/>
        </w:rPr>
        <w:t>Scott B. (new 3He elastic proposal)</w:t>
      </w:r>
    </w:p>
    <w:p>
      <w:pPr>
        <w:pStyle w:val="Normal"/>
        <w:rPr>
          <w:b w:val="false"/>
          <w:b w:val="false"/>
          <w:bCs w:val="false"/>
        </w:rPr>
      </w:pPr>
      <w:r>
        <w:rPr>
          <w:b w:val="false"/>
          <w:bCs w:val="false"/>
          <w:color w:val="auto"/>
        </w:rPr>
        <w:t>discussions: should change Q2 settings to pin-down the zero-crossing!</w:t>
      </w:r>
    </w:p>
    <w:p>
      <w:pPr>
        <w:pStyle w:val="Normal"/>
        <w:rPr/>
      </w:pPr>
      <w:r>
        <w:rPr>
          <w:b w:val="false"/>
          <w:bCs w:val="false"/>
          <w:color w:val="auto"/>
        </w:rPr>
        <w:t>- need to make sure windows/QE rates have been properly considered.</w:t>
      </w:r>
    </w:p>
    <w:p>
      <w:pPr>
        <w:pStyle w:val="Normal"/>
        <w:rPr/>
      </w:pPr>
      <w:r>
        <w:rPr/>
      </w:r>
    </w:p>
    <w:p>
      <w:pPr>
        <w:pStyle w:val="Normal"/>
        <w:rPr>
          <w:b/>
          <w:b/>
          <w:bCs/>
        </w:rPr>
      </w:pPr>
      <w:r>
        <w:rPr>
          <w:b/>
          <w:bCs/>
        </w:rPr>
        <w:t>JP (target overall status):</w:t>
      </w:r>
    </w:p>
    <w:p>
      <w:pPr>
        <w:pStyle w:val="Normal"/>
        <w:rPr/>
      </w:pPr>
      <w:r>
        <w:rPr/>
        <w:t xml:space="preserve">– </w:t>
      </w:r>
      <w:r>
        <w:rPr/>
        <w:t>safe</w:t>
      </w:r>
      <w:r>
        <w:rPr/>
        <w:t>t</w:t>
      </w:r>
      <w:r>
        <w:rPr/>
        <w:t>y incident caused the lab to close for two weeks, caused delay;</w:t>
      </w:r>
    </w:p>
    <w:p>
      <w:pPr>
        <w:pStyle w:val="Normal"/>
        <w:rPr/>
      </w:pPr>
      <w:r>
        <w:rPr/>
        <w:t xml:space="preserve">– </w:t>
      </w:r>
      <w:r>
        <w:rPr/>
        <w:t>target experts will need extensive training (Radcon II, lock/tag, etc) to work on the target pivot;</w:t>
      </w:r>
    </w:p>
    <w:p>
      <w:pPr>
        <w:pStyle w:val="Normal"/>
        <w:rPr/>
      </w:pPr>
      <w:r>
        <w:rPr/>
        <w:t xml:space="preserve">– </w:t>
      </w:r>
      <w:r>
        <w:rPr/>
        <w:t>next going on in target lab: water calibration over the weekend, plus testing Fulla (need Fulla from UVa on Thursday/tomorrow). Target will be disassembled on Aug. 6</w:t>
      </w:r>
      <w:r>
        <w:rPr>
          <w:vertAlign w:val="superscript"/>
        </w:rPr>
        <w:t>th</w:t>
      </w:r>
      <w:r>
        <w:rPr/>
        <w:t>.</w:t>
      </w:r>
    </w:p>
    <w:p>
      <w:pPr>
        <w:pStyle w:val="Normal"/>
        <w:rPr/>
      </w:pPr>
      <w:r>
        <w:rPr/>
        <w:t xml:space="preserve">– </w:t>
      </w:r>
      <w:r>
        <w:rPr/>
        <w:t>will send Savior back to UVa for testing.</w:t>
      </w:r>
    </w:p>
    <w:p>
      <w:pPr>
        <w:pStyle w:val="Normal"/>
        <w:rPr/>
      </w:pPr>
      <w:r>
        <w:rPr/>
      </w:r>
    </w:p>
    <w:p>
      <w:pPr>
        <w:pStyle w:val="Normal"/>
        <w:rPr/>
      </w:pPr>
      <w:r>
        <w:rPr/>
        <w:t>(Gordon): should check if Savior has leak. A leak can easily explain the reduced performance observed at JLab. Also 2.5 years is a long time for a glass cell being repeatedly tested.</w:t>
      </w:r>
    </w:p>
    <w:p>
      <w:pPr>
        <w:pStyle w:val="Normal"/>
        <w:rPr/>
      </w:pPr>
      <w:r>
        <w:rPr/>
      </w:r>
    </w:p>
    <w:p>
      <w:pPr>
        <w:pStyle w:val="Normal"/>
        <w:rPr>
          <w:b/>
          <w:b/>
          <w:bCs/>
        </w:rPr>
      </w:pPr>
      <w:r>
        <w:rPr>
          <w:b/>
          <w:bCs/>
        </w:rPr>
        <w:t>Mingyu and Junhao Chen (target details);</w:t>
      </w:r>
    </w:p>
    <w:p>
      <w:pPr>
        <w:pStyle w:val="Normal"/>
        <w:rPr/>
      </w:pPr>
      <w:r>
        <w:rPr/>
        <w:t>no note here, everything is fine!</w:t>
      </w:r>
    </w:p>
    <w:p>
      <w:pPr>
        <w:pStyle w:val="Normal"/>
        <w:rPr/>
      </w:pPr>
      <w:r>
        <w:rPr/>
      </w:r>
    </w:p>
    <w:p>
      <w:pPr>
        <w:pStyle w:val="Normal"/>
        <w:rPr>
          <w:b/>
          <w:b/>
          <w:bCs/>
        </w:rPr>
      </w:pPr>
      <w:r>
        <w:rPr>
          <w:b/>
          <w:bCs/>
        </w:rPr>
        <w:t>Todd A. (reference cell system);</w:t>
      </w:r>
    </w:p>
    <w:p>
      <w:pPr>
        <w:pStyle w:val="Normal"/>
        <w:rPr/>
      </w:pPr>
      <w:r>
        <w:rPr/>
        <w:t>Showed some simulation by Silviu (note from XZ: some of these were shown at biweekly meeting last year, see mintues);</w:t>
      </w:r>
    </w:p>
    <w:p>
      <w:pPr>
        <w:pStyle w:val="Normal"/>
        <w:rPr/>
      </w:pPr>
      <w:r>
        <w:rPr/>
        <w:t>(Thia): For deuterium we had some data that confirmed well Silviu’s simulation.</w:t>
      </w:r>
    </w:p>
    <w:p>
      <w:pPr>
        <w:pStyle w:val="Normal"/>
        <w:rPr/>
      </w:pPr>
      <w:r>
        <w:rPr/>
      </w:r>
    </w:p>
    <w:p>
      <w:pPr>
        <w:pStyle w:val="Normal"/>
        <w:rPr/>
      </w:pPr>
      <w:r>
        <w:rPr/>
        <w:t>Discussions on beam trip rate/ramping:</w:t>
      </w:r>
    </w:p>
    <w:p>
      <w:pPr>
        <w:pStyle w:val="Normal"/>
        <w:rPr/>
      </w:pPr>
      <w:r>
        <w:rPr/>
        <w:t>- As already determined from Silviu’s simulation, our minimum ramp rate is 1uA/sec or 30sec total to reach 30uA. Data during this time cannot be used due to density settling and possible large Aq.</w:t>
      </w:r>
    </w:p>
    <w:p>
      <w:pPr>
        <w:pStyle w:val="Normal"/>
        <w:rPr/>
      </w:pPr>
      <w:r>
        <w:rPr/>
        <w:t>(Brad) but cutting out beam ramps will affect the cross section measurement! (JP) but cross section measurements are not statistically limited so should be fine!</w:t>
      </w:r>
    </w:p>
    <w:p>
      <w:pPr>
        <w:pStyle w:val="Normal"/>
        <w:rPr/>
      </w:pPr>
      <w:r>
        <w:rPr/>
      </w:r>
    </w:p>
    <w:p>
      <w:pPr>
        <w:pStyle w:val="Normal"/>
        <w:rPr/>
      </w:pPr>
      <w:r>
        <w:rPr/>
        <w:t>Biggest effect is systematic effect on the target density, which is about 6% from Silviu’s simulation along the beam path. This can’t be determined from reference cell runs as reference cells will have the same effect. But can be studied using absolute H2 cross section.</w:t>
      </w:r>
    </w:p>
    <w:p>
      <w:pPr>
        <w:pStyle w:val="Normal"/>
        <w:rPr/>
      </w:pPr>
      <w:r>
        <w:rPr/>
      </w:r>
    </w:p>
    <w:p>
      <w:pPr>
        <w:pStyle w:val="Normal"/>
        <w:rPr/>
      </w:pPr>
      <w:r>
        <w:rPr/>
        <w:t xml:space="preserve">– </w:t>
      </w:r>
      <w:r>
        <w:rPr/>
        <w:t>discuss again about trip rate. We have known (from Jay) for a long time trip rate will be 10/hr with 2 RF recoveries per week. This has not changed. In a followup email (7/25) from Jay: “</w:t>
      </w:r>
      <w:r>
        <w:rPr>
          <w:sz w:val="22"/>
        </w:rPr>
        <w:t>Trip rate will also be bad. RF at least ten/hour with two RF recovery periods per week. Another five/hour likely either from BLMs or Hall B halo detectors. There's hope for significant improvement in 2021 but no earlier; I'll know more about that after an 0900 meeting Friday.”</w:t>
      </w:r>
    </w:p>
    <w:p>
      <w:pPr>
        <w:pStyle w:val="Normal"/>
        <w:rPr>
          <w:sz w:val="22"/>
        </w:rPr>
      </w:pPr>
      <w:r>
        <w:rPr/>
      </w:r>
    </w:p>
    <w:p>
      <w:pPr>
        <w:pStyle w:val="Normal"/>
        <w:rPr/>
      </w:pPr>
      <w:r>
        <w:rPr>
          <w:sz w:val="22"/>
        </w:rPr>
        <w:t>So, 15/hr * 0.5min = 7.5min/hr. If the efficiency is already low, let’s say 35min of good beam per hour, the loss due to beam ramping is 7.5/35min or ¼ of beam!</w:t>
      </w:r>
    </w:p>
    <w:p>
      <w:pPr>
        <w:pStyle w:val="Normal"/>
        <w:rPr>
          <w:sz w:val="22"/>
        </w:rPr>
      </w:pPr>
      <w:r>
        <w:rPr/>
      </w:r>
    </w:p>
    <w:p>
      <w:pPr>
        <w:pStyle w:val="Normal"/>
        <w:rPr/>
      </w:pPr>
      <w:r>
        <w:rPr>
          <w:sz w:val="22"/>
        </w:rPr>
        <w:t>Note: beam ramping is more a target cell safety requirement than a data requirement. So even though A1n is less sensitive to density settling, we can’t use a faster ramp rate.</w:t>
      </w:r>
    </w:p>
    <w:p>
      <w:pPr>
        <w:pStyle w:val="Normal"/>
        <w:rPr>
          <w:i/>
          <w:i/>
          <w:iCs/>
          <w:color w:val="009900"/>
          <w:sz w:val="22"/>
        </w:rPr>
      </w:pPr>
      <w:r>
        <w:rPr/>
      </w:r>
    </w:p>
    <w:p>
      <w:pPr>
        <w:pStyle w:val="Normal"/>
        <w:rPr/>
      </w:pPr>
      <w:r>
        <w:rPr>
          <w:sz w:val="22"/>
        </w:rPr>
        <w:t xml:space="preserve">– </w:t>
      </w:r>
      <w:r>
        <w:rPr>
          <w:sz w:val="22"/>
        </w:rPr>
        <w:t>(Thia, Brad) It’s important we don’t push for a higher gradient (energy) because trip rate can be significantly poorer at 10.6 than 10.5 GeV. (But we are already running 10.5 GeV so nothing to do here, I think?)</w:t>
      </w:r>
    </w:p>
    <w:p>
      <w:pPr>
        <w:pStyle w:val="Normal"/>
        <w:rPr>
          <w:sz w:val="22"/>
        </w:rPr>
      </w:pPr>
      <w:r>
        <w:rPr/>
      </w:r>
    </w:p>
    <w:p>
      <w:pPr>
        <w:pStyle w:val="Normal"/>
        <w:rPr>
          <w:i/>
          <w:i/>
          <w:iCs/>
          <w:color w:val="009900"/>
        </w:rPr>
      </w:pPr>
      <w:r>
        <w:rPr>
          <w:i/>
          <w:iCs/>
          <w:color w:val="009900"/>
          <w:sz w:val="22"/>
        </w:rPr>
        <w:t>from Dec ‘18 meeting:</w:t>
      </w:r>
    </w:p>
    <w:p>
      <w:pPr>
        <w:pStyle w:val="Normal"/>
        <w:rPr>
          <w:i/>
          <w:i/>
          <w:iCs/>
          <w:color w:val="009900"/>
        </w:rPr>
      </w:pPr>
      <w:r>
        <w:rPr>
          <w:i/>
          <w:iCs/>
          <w:color w:val="009900"/>
          <w:sz w:val="22"/>
        </w:rPr>
        <w:t xml:space="preserve">– </w:t>
      </w:r>
      <w:r>
        <w:rPr>
          <w:i/>
          <w:iCs/>
          <w:color w:val="009900"/>
          <w:sz w:val="22"/>
        </w:rPr>
        <w:t>how much gas do we need? (N2, H2, 3He) → need run plan – followup July 2019: Todd said he thinks he has enough gas.</w:t>
      </w:r>
    </w:p>
    <w:p>
      <w:pPr>
        <w:pStyle w:val="Normal"/>
        <w:rPr/>
      </w:pPr>
      <w:r>
        <w:rPr/>
      </w:r>
    </w:p>
    <w:p>
      <w:pPr>
        <w:pStyle w:val="Normal"/>
        <w:rPr/>
      </w:pPr>
      <w:r>
        <w:rPr>
          <w:b/>
          <w:bCs/>
        </w:rPr>
        <w:t>Munchuna R.</w:t>
      </w:r>
      <w:r>
        <w:rPr>
          <w:b/>
          <w:bCs/>
        </w:rPr>
        <w:t xml:space="preserve"> (</w:t>
      </w:r>
      <w:r>
        <w:rPr>
          <w:b/>
          <w:bCs/>
        </w:rPr>
        <w:t>target field directions</w:t>
      </w:r>
      <w:r>
        <w:rPr>
          <w:b/>
          <w:bCs/>
        </w:rPr>
        <w:t>):</w:t>
      </w:r>
    </w:p>
    <w:p>
      <w:pPr>
        <w:pStyle w:val="Normal"/>
        <w:rPr/>
      </w:pPr>
      <w:r>
        <w:rPr/>
        <w:t xml:space="preserve">– </w:t>
      </w:r>
      <w:r>
        <w:rPr/>
        <w:t>need to send a list of supply/space need to JP for testing the field magnet in the hall.</w:t>
      </w:r>
    </w:p>
    <w:p>
      <w:pPr>
        <w:pStyle w:val="Normal"/>
        <w:rPr/>
      </w:pPr>
      <w:r>
        <w:rPr/>
      </w:r>
    </w:p>
    <w:p>
      <w:pPr>
        <w:pStyle w:val="Normal"/>
        <w:rPr/>
      </w:pPr>
      <w:r>
        <w:rPr/>
      </w:r>
    </w:p>
    <w:p>
      <w:pPr>
        <w:pStyle w:val="Normal"/>
        <w:rPr/>
      </w:pPr>
      <w:r>
        <w:rPr>
          <w:b/>
          <w:bCs/>
        </w:rPr>
        <w:t>Gordon (Field gradient):</w:t>
      </w:r>
    </w:p>
    <w:p>
      <w:pPr>
        <w:pStyle w:val="Normal"/>
        <w:rPr>
          <w:color w:val="auto"/>
        </w:rPr>
      </w:pPr>
      <w:r>
        <w:rPr>
          <w:color w:val="auto"/>
        </w:rPr>
        <w:t xml:space="preserve">– </w:t>
      </w:r>
      <w:r>
        <w:rPr>
          <w:color w:val="auto"/>
        </w:rPr>
        <w:t xml:space="preserve">reported on </w:t>
      </w:r>
      <w:r>
        <w:rPr>
          <w:color w:val="auto"/>
        </w:rPr>
        <w:t xml:space="preserve">effect of HMS Q1 </w:t>
      </w:r>
      <w:r>
        <w:rPr>
          <w:color w:val="auto"/>
        </w:rPr>
        <w:t>at 13.5 deg and 600A (note: this appears to be one of d2n setting). Effect is small compare to gradients from other fields/magnets (such as Hb).</w:t>
      </w:r>
    </w:p>
    <w:p>
      <w:pPr>
        <w:pStyle w:val="Normal"/>
        <w:rPr>
          <w:color w:val="auto"/>
        </w:rPr>
      </w:pPr>
      <w:r>
        <w:rPr>
          <w:color w:val="auto"/>
        </w:rPr>
        <w:t xml:space="preserve">– </w:t>
      </w:r>
      <w:r>
        <w:rPr>
          <w:color w:val="auto"/>
        </w:rPr>
        <w:t>can scale linearly for A1n’s 12.5 deg, 6.8 GeV/c (Q1 current is 893A so 50% higher). So effect is still small.</w:t>
      </w:r>
    </w:p>
    <w:p>
      <w:pPr>
        <w:pStyle w:val="Normal"/>
        <w:rPr>
          <w:color w:val="auto"/>
        </w:rPr>
      </w:pPr>
      <w:r>
        <w:rPr>
          <w:color w:val="auto"/>
        </w:rPr>
      </w:r>
    </w:p>
    <w:p>
      <w:pPr>
        <w:pStyle w:val="Normal"/>
        <w:rPr>
          <w:color w:val="auto"/>
        </w:rPr>
      </w:pPr>
      <w:r>
        <w:rPr>
          <w:color w:val="auto"/>
        </w:rPr>
        <w:t xml:space="preserve">– </w:t>
      </w:r>
      <w:r>
        <w:rPr>
          <w:color w:val="auto"/>
        </w:rPr>
        <w:t xml:space="preserve">to do: would like to run this for the high x run to make sure we are okay. (Good idea! since we will be there for 50 days!). Settings for HMS is 30 deg, 2.9 and 3.5 GeV/c. Iset for HMS Q1 are 378A and 456A, respectively.  If need to run this with “everything on”, Sylvester J. has all settings worked out in a spreadsheet sent by email </w:t>
      </w:r>
      <w:r>
        <w:rPr>
          <w:color w:val="auto"/>
        </w:rPr>
        <w:t>(7/24), which are copied and attached as Appendix A to this document (see last page).</w:t>
      </w:r>
    </w:p>
    <w:p>
      <w:pPr>
        <w:pStyle w:val="Normal"/>
        <w:rPr/>
      </w:pPr>
      <w:r>
        <w:rPr/>
      </w:r>
    </w:p>
    <w:p>
      <w:pPr>
        <w:pStyle w:val="Normal"/>
        <w:rPr/>
      </w:pPr>
      <w:r>
        <w:rPr/>
      </w:r>
    </w:p>
    <w:p>
      <w:pPr>
        <w:pStyle w:val="Normal"/>
        <w:rPr>
          <w:b/>
          <w:b/>
          <w:bCs/>
        </w:rPr>
      </w:pPr>
      <w:r>
        <w:rPr>
          <w:b/>
          <w:bCs/>
        </w:rPr>
        <w:t>Gordon (Cell production):</w:t>
      </w:r>
    </w:p>
    <w:p>
      <w:pPr>
        <w:pStyle w:val="Normal"/>
        <w:rPr/>
      </w:pPr>
      <w:r>
        <w:rPr/>
        <w:t xml:space="preserve">– </w:t>
      </w:r>
      <w:r>
        <w:rPr/>
        <w:t>Recap: We need 6 cells for A1n/d2n running</w:t>
      </w:r>
    </w:p>
    <w:p>
      <w:pPr>
        <w:pStyle w:val="Normal"/>
        <w:rPr/>
      </w:pPr>
      <w:r>
        <w:rPr/>
        <w:t xml:space="preserve">– </w:t>
      </w:r>
      <w:r>
        <w:rPr/>
        <w:t>Overall, best cell is Fulla (17hr, 53%). Tests show much better performance than last December due to discovering a large AFP loss in the system (which has since been corrected);</w:t>
      </w:r>
    </w:p>
    <w:p>
      <w:pPr>
        <w:pStyle w:val="Normal"/>
        <w:rPr/>
      </w:pPr>
      <w:r>
        <w:rPr/>
        <w:t xml:space="preserve">– </w:t>
      </w:r>
      <w:r>
        <w:rPr/>
        <w:t>Two more cells are not quite usable (but not absolutely unusable): Florence (11hr, 45%) and Brianna (23hr, 53% pre-damage; 14hr, ??% post high laser power damage).</w:t>
      </w:r>
    </w:p>
    <w:p>
      <w:pPr>
        <w:pStyle w:val="Normal"/>
        <w:rPr/>
      </w:pPr>
      <w:r>
        <w:rPr/>
        <w:t xml:space="preserve">– </w:t>
      </w:r>
      <w:r>
        <w:rPr/>
        <w:t>Savior shows significantly lower performance when tested at JLab (42hr, &gt;55% at UVa; 28hr, ~38% at JLab). Reason may be due to leak and/or normal aging (it’s 2.5 years old!). – now ranked below Brianna and Florence.</w:t>
      </w:r>
    </w:p>
    <w:p>
      <w:pPr>
        <w:pStyle w:val="Normal"/>
        <w:rPr/>
      </w:pPr>
      <w:r>
        <w:rPr/>
        <w:t xml:space="preserve">– </w:t>
      </w:r>
      <w:r>
        <w:rPr>
          <w:u w:val="single"/>
        </w:rPr>
        <w:t>Will produce one cell per week between two sites (UVa and W&amp;M).</w:t>
      </w:r>
      <w:r>
        <w:rPr/>
        <w:t xml:space="preserve"> Stay tuned.  Next cell to be made is “Yeti”.</w:t>
      </w:r>
    </w:p>
    <w:p>
      <w:pPr>
        <w:pStyle w:val="Normal"/>
        <w:rPr/>
      </w:pPr>
      <w:r>
        <w:rPr/>
        <w:t xml:space="preserve">– </w:t>
      </w:r>
      <w:r>
        <w:rPr/>
        <w:t>p.17 has a nice cell comparison by Todd.</w:t>
      </w:r>
    </w:p>
    <w:p>
      <w:pPr>
        <w:pStyle w:val="Normal"/>
        <w:rPr/>
      </w:pPr>
      <w:r>
        <w:rPr/>
      </w:r>
    </w:p>
    <w:p>
      <w:pPr>
        <w:pStyle w:val="Normal"/>
        <w:rPr>
          <w:b/>
          <w:b/>
          <w:bCs/>
          <w:color w:val="0000FF"/>
        </w:rPr>
      </w:pPr>
      <w:r>
        <w:rPr>
          <w:b/>
          <w:bCs/>
          <w:color w:val="0000FF"/>
        </w:rPr>
        <w:t>(Thia): Ed Folts is now tracking on cell production/testing status. By 9/1, need 3 more cells produced, and 2 minimum at the performance level of Fulla.</w:t>
      </w:r>
    </w:p>
    <w:p>
      <w:pPr>
        <w:pStyle w:val="Normal"/>
        <w:rPr/>
      </w:pPr>
      <w:r>
        <w:rPr/>
      </w:r>
    </w:p>
    <w:p>
      <w:pPr>
        <w:pStyle w:val="Normal"/>
        <w:rPr/>
      </w:pPr>
      <w:r>
        <w:rPr/>
      </w:r>
    </w:p>
    <w:p>
      <w:pPr>
        <w:pStyle w:val="Normal"/>
        <w:rPr/>
      </w:pPr>
      <w:r>
        <w:rPr>
          <w:b/>
          <w:bCs/>
        </w:rPr>
        <w:t xml:space="preserve">Brad S. </w:t>
      </w:r>
      <w:r>
        <w:rPr>
          <w:b/>
          <w:bCs/>
        </w:rPr>
        <w:t>(</w:t>
      </w:r>
      <w:r>
        <w:rPr>
          <w:b/>
          <w:bCs/>
        </w:rPr>
        <w:t>Detectors and PID):</w:t>
      </w:r>
    </w:p>
    <w:p>
      <w:pPr>
        <w:pStyle w:val="Normal"/>
        <w:rPr>
          <w:b/>
          <w:b/>
          <w:bCs/>
        </w:rPr>
      </w:pPr>
      <w:r>
        <w:rPr/>
      </w:r>
    </w:p>
    <w:p>
      <w:pPr>
        <w:pStyle w:val="Normal"/>
        <w:rPr>
          <w:b w:val="false"/>
          <w:b w:val="false"/>
          <w:bCs w:val="false"/>
        </w:rPr>
      </w:pPr>
      <w:r>
        <w:rPr>
          <w:b w:val="false"/>
          <w:bCs w:val="false"/>
        </w:rPr>
        <w:t>D</w:t>
      </w:r>
      <w:r>
        <w:rPr>
          <w:b w:val="false"/>
          <w:bCs w:val="false"/>
        </w:rPr>
        <w:t>id not compile a good summary of PID performance (electron efficiency and pion rejection, etc).</w:t>
      </w:r>
    </w:p>
    <w:p>
      <w:pPr>
        <w:pStyle w:val="Normal"/>
        <w:rPr>
          <w:b w:val="false"/>
          <w:b w:val="false"/>
          <w:bCs w:val="false"/>
        </w:rPr>
      </w:pPr>
      <w:r>
        <w:rPr>
          <w:b w:val="false"/>
          <w:bCs w:val="false"/>
        </w:rPr>
      </w:r>
    </w:p>
    <w:p>
      <w:pPr>
        <w:pStyle w:val="Normal"/>
        <w:rPr>
          <w:b w:val="false"/>
          <w:b w:val="false"/>
          <w:bCs w:val="false"/>
        </w:rPr>
      </w:pPr>
      <w:r>
        <w:rPr>
          <w:b w:val="false"/>
          <w:bCs w:val="false"/>
        </w:rPr>
        <w:t>(XZ): Will you work out a list of working pressure/gas mix conditions to use for both A1n and d2n?</w:t>
      </w:r>
    </w:p>
    <w:p>
      <w:pPr>
        <w:pStyle w:val="Normal"/>
        <w:rPr>
          <w:b w:val="false"/>
          <w:b w:val="false"/>
          <w:bCs w:val="false"/>
        </w:rPr>
      </w:pPr>
      <w:r>
        <w:rPr>
          <w:b w:val="false"/>
          <w:bCs w:val="false"/>
        </w:rPr>
        <w:t>(Brad): Yes!</w:t>
      </w:r>
    </w:p>
    <w:p>
      <w:pPr>
        <w:pStyle w:val="Normal"/>
        <w:rPr>
          <w:b/>
          <w:b/>
          <w:bCs/>
        </w:rPr>
      </w:pPr>
      <w:r>
        <w:rPr/>
      </w:r>
    </w:p>
    <w:p>
      <w:pPr>
        <w:pStyle w:val="Normal"/>
        <w:rPr>
          <w:color w:val="009900"/>
        </w:rPr>
      </w:pPr>
      <w:r>
        <w:rPr>
          <w:color w:val="009900"/>
        </w:rPr>
        <w:t>From Dec ‘19 meeting:</w:t>
      </w:r>
    </w:p>
    <w:p>
      <w:pPr>
        <w:pStyle w:val="Normal"/>
        <w:rPr>
          <w:color w:val="009900"/>
        </w:rPr>
      </w:pPr>
      <w:r>
        <w:rPr>
          <w:color w:val="009900"/>
        </w:rPr>
      </w:r>
    </w:p>
    <w:p>
      <w:pPr>
        <w:pStyle w:val="Normal"/>
        <w:rPr>
          <w:color w:val="009900"/>
        </w:rPr>
      </w:pPr>
      <w:r>
        <w:rPr>
          <w:color w:val="009900"/>
        </w:rPr>
        <w:t>NGC and HGC each has separate problems: HGC Npe is too low; NGC mirror was fixed and re-aligned which improved Npe, but the hole at the center of focal plane gets bigger.</w:t>
      </w:r>
    </w:p>
    <w:p>
      <w:pPr>
        <w:pStyle w:val="Normal"/>
        <w:rPr>
          <w:color w:val="009900"/>
        </w:rPr>
      </w:pPr>
      <w:r>
        <w:rPr>
          <w:color w:val="009900"/>
        </w:rPr>
        <w:t>We should be prepared to use both NGC and HGC (JP)</w:t>
      </w:r>
    </w:p>
    <w:p>
      <w:pPr>
        <w:pStyle w:val="Normal"/>
        <w:rPr/>
      </w:pPr>
      <w:r>
        <w:rPr>
          <w:color w:val="009900"/>
        </w:rPr>
        <w:t xml:space="preserve">What’s the threshold momentum we need? – </w:t>
      </w:r>
      <w:r>
        <w:rPr>
          <w:color w:val="009900"/>
        </w:rPr>
        <w:t>may not need GC for high momentum settings (XZ)</w:t>
      </w:r>
      <w:r>
        <w:rPr>
          <w:color w:val="009900"/>
        </w:rPr>
        <w:t xml:space="preserve"> – this will simplify the gas mix</w:t>
      </w:r>
      <w:r>
        <w:rPr/>
        <w:t xml:space="preserve">. </w:t>
      </w:r>
    </w:p>
    <w:p>
      <w:pPr>
        <w:pStyle w:val="Normal"/>
        <w:rPr/>
      </w:pPr>
      <w:r>
        <w:rPr/>
      </w:r>
    </w:p>
    <w:p>
      <w:pPr>
        <w:pStyle w:val="Normal"/>
        <w:rPr/>
      </w:pPr>
      <w:r>
        <w:rPr/>
        <w:t xml:space="preserve">(Brad) </w:t>
      </w:r>
      <w:r>
        <w:rPr>
          <w:color w:val="FF00CC"/>
        </w:rPr>
        <w:t>We urgently need people to become familiar with hcana.</w:t>
      </w:r>
      <w:r>
        <w:rPr/>
        <w:t xml:space="preserve"> Suggest someone leading </w:t>
      </w:r>
      <w:r>
        <w:rPr>
          <w:color w:val="FF3333"/>
        </w:rPr>
        <w:t xml:space="preserve">weekly meetings </w:t>
      </w:r>
      <w:r>
        <w:rPr/>
        <w:t>with all graduate students. Need one senior local person as the expert and “go to” person too.</w:t>
      </w:r>
    </w:p>
    <w:p>
      <w:pPr>
        <w:pStyle w:val="Normal"/>
        <w:rPr/>
      </w:pPr>
      <w:r>
        <w:rPr/>
        <w:t xml:space="preserve">– </w:t>
      </w:r>
      <w:r>
        <w:rPr>
          <w:color w:val="FF3333"/>
        </w:rPr>
        <w:t xml:space="preserve">possibly to start right away: </w:t>
      </w:r>
      <w:r>
        <w:rPr/>
        <w:t>initial lead by Syvelster J., with Jixie Z. as the 2</w:t>
      </w:r>
      <w:r>
        <w:rPr>
          <w:vertAlign w:val="superscript"/>
        </w:rPr>
        <w:t>nd</w:t>
      </w:r>
      <w:r>
        <w:rPr/>
        <w:t xml:space="preserve"> lead and local expert. Melanie will start working on online checking scripts and online analysis; All other students get started too.</w:t>
      </w:r>
    </w:p>
    <w:p>
      <w:pPr>
        <w:pStyle w:val="Normal"/>
        <w:rPr/>
      </w:pPr>
      <w:r>
        <w:rPr/>
        <w:t xml:space="preserve">– </w:t>
      </w:r>
      <w:r>
        <w:rPr/>
        <w:t>XZ will start to brainstorm a list of online monitoring needed and discuss this with Melanie this weekend (on shift in Hall C). Some very random thoughts are as follows:</w:t>
      </w:r>
    </w:p>
    <w:p>
      <w:pPr>
        <w:pStyle w:val="Normal"/>
        <w:rPr/>
      </w:pPr>
      <w:r>
        <w:rPr/>
        <w:t>---- basic detector checkouts, must include scintillator hit position, cherenkov and lead glass;</w:t>
      </w:r>
    </w:p>
    <w:p>
      <w:pPr>
        <w:pStyle w:val="Normal"/>
        <w:rPr/>
      </w:pPr>
      <w:r>
        <w:rPr/>
        <w:t>---- online electron PID plots and cuts determined on the fly;</w:t>
      </w:r>
    </w:p>
    <w:p>
      <w:pPr>
        <w:pStyle w:val="Normal"/>
        <w:rPr/>
      </w:pPr>
      <w:r>
        <w:rPr/>
        <w:t>---- Helicity dependent (N+ and N-) W spectrum (cut if needed), Q2 spectrum, xbj spectrum (cut when needed);</w:t>
      </w:r>
    </w:p>
    <w:p>
      <w:pPr>
        <w:pStyle w:val="Normal"/>
        <w:rPr/>
      </w:pPr>
      <w:r>
        <w:rPr/>
        <w:t xml:space="preserve">---- </w:t>
      </w:r>
      <w:r>
        <w:rPr/>
        <w:t>online analyzer spits out total N+ and N- for good electrons, asymmetries, (binned when appropriate);</w:t>
      </w:r>
    </w:p>
    <w:p>
      <w:pPr>
        <w:pStyle w:val="Normal"/>
        <w:rPr/>
      </w:pPr>
      <w:r>
        <w:rPr/>
        <w:t xml:space="preserve">---- </w:t>
      </w:r>
      <w:r>
        <w:rPr/>
        <w:t>online analyzer spits out accumulated statistics (see above) for a given kinematics.</w:t>
      </w:r>
    </w:p>
    <w:p>
      <w:pPr>
        <w:pStyle w:val="Normal"/>
        <w:rPr/>
      </w:pPr>
      <w:r>
        <w:rPr/>
        <w:t xml:space="preserve">---- </w:t>
      </w:r>
      <w:r>
        <w:rPr/>
        <w:t>what else?</w:t>
      </w:r>
    </w:p>
    <w:p>
      <w:pPr>
        <w:pStyle w:val="Normal"/>
        <w:rPr/>
      </w:pPr>
      <w:r>
        <w:rPr/>
        <w:t xml:space="preserve">---- </w:t>
      </w:r>
      <w:r>
        <w:rPr/>
        <w:t xml:space="preserve">need better checklist instructions and need include all variables on parity control. </w:t>
      </w:r>
    </w:p>
    <w:p>
      <w:pPr>
        <w:pStyle w:val="Normal"/>
        <w:rPr/>
      </w:pPr>
      <w:r>
        <w:rPr/>
      </w:r>
      <w:r>
        <w:br w:type="page"/>
      </w:r>
    </w:p>
    <w:p>
      <w:pPr>
        <w:pStyle w:val="Normal"/>
        <w:rPr/>
      </w:pPr>
      <w:r>
        <w:rPr>
          <w:b/>
          <w:bCs/>
        </w:rPr>
        <w:t>General discussions:</w:t>
      </w:r>
    </w:p>
    <w:p>
      <w:pPr>
        <w:pStyle w:val="Normal"/>
        <w:rPr>
          <w:b/>
          <w:b/>
          <w:bCs/>
        </w:rPr>
      </w:pPr>
      <w:r>
        <w:rPr>
          <w:b/>
          <w:bCs/>
        </w:rPr>
      </w:r>
    </w:p>
    <w:p>
      <w:pPr>
        <w:pStyle w:val="Normal"/>
        <w:rPr/>
      </w:pPr>
      <w:r>
        <w:rPr/>
        <w:t xml:space="preserve">– </w:t>
      </w:r>
      <w:r>
        <w:rPr/>
        <w:t>We will need to meet bi-weekly from now on. Tuesday afternoon seems to work for everyone.</w:t>
      </w:r>
    </w:p>
    <w:p>
      <w:pPr>
        <w:pStyle w:val="Normal"/>
        <w:rPr/>
      </w:pPr>
      <w:r>
        <w:rPr/>
        <w:t xml:space="preserve">– </w:t>
      </w:r>
      <w:r>
        <w:rPr/>
        <w:t xml:space="preserve">Thia updated: sent collaboration’s reply (July 2019 version) to Patrizia R., who forwarded to the ERR committee. Next will wait for their reply. Meanwhile, </w:t>
      </w:r>
      <w:r>
        <w:rPr>
          <w:b/>
          <w:bCs/>
          <w:color w:val="0000FF"/>
        </w:rPr>
        <w:t>management has started formal tracking on collaboration’s readiness with particular focus on cell production (crucial item).</w:t>
      </w:r>
    </w:p>
    <w:p>
      <w:pPr>
        <w:pStyle w:val="Normal"/>
        <w:rPr/>
      </w:pPr>
      <w:r>
        <w:rPr/>
      </w:r>
    </w:p>
    <w:p>
      <w:pPr>
        <w:pStyle w:val="Normal"/>
        <w:rPr/>
      </w:pPr>
      <w:r>
        <w:rPr/>
        <w:t xml:space="preserve">– </w:t>
      </w:r>
      <w:r>
        <w:rPr/>
        <w:t>First item to discuss will be an update on manpower. So far we have:</w:t>
      </w:r>
    </w:p>
    <w:p>
      <w:pPr>
        <w:pStyle w:val="Normal"/>
        <w:rPr/>
      </w:pPr>
      <w:r>
        <w:rPr/>
        <w:t xml:space="preserve">  </w:t>
      </w:r>
      <w:r>
        <w:rPr>
          <w:u w:val="single"/>
        </w:rPr>
        <w:t>Students</w:t>
      </w:r>
      <w:r>
        <w:rPr/>
        <w:t>:</w:t>
      </w:r>
    </w:p>
    <w:p>
      <w:pPr>
        <w:pStyle w:val="Normal"/>
        <w:rPr/>
      </w:pPr>
      <w:r>
        <w:rPr/>
        <w:t xml:space="preserve">  </w:t>
      </w:r>
      <w:r>
        <w:rPr/>
        <w:t>Mingyu Chen (UVa, A1n)</w:t>
      </w:r>
    </w:p>
    <w:p>
      <w:pPr>
        <w:pStyle w:val="Normal"/>
        <w:rPr/>
      </w:pPr>
      <w:r>
        <w:rPr/>
        <w:t xml:space="preserve">  </w:t>
      </w:r>
      <w:r>
        <w:rPr/>
        <w:t>Melanie Ruhfuss (Temple, A1n)</w:t>
      </w:r>
    </w:p>
    <w:p>
      <w:pPr>
        <w:pStyle w:val="Normal"/>
        <w:rPr/>
      </w:pPr>
      <w:r>
        <w:rPr/>
        <w:t xml:space="preserve">  </w:t>
      </w:r>
      <w:r>
        <w:rPr/>
        <w:t>Junhao Chen (W&amp;M, d2n)</w:t>
      </w:r>
    </w:p>
    <w:p>
      <w:pPr>
        <w:pStyle w:val="Normal"/>
        <w:rPr/>
      </w:pPr>
      <w:r>
        <w:rPr/>
        <w:t xml:space="preserve">  </w:t>
      </w:r>
      <w:r>
        <w:rPr/>
        <w:t>Murchhana Roy (Kentucky, d2n)</w:t>
      </w:r>
    </w:p>
    <w:p>
      <w:pPr>
        <w:pStyle w:val="Normal"/>
        <w:rPr/>
      </w:pPr>
      <w:r>
        <w:rPr/>
      </w:r>
    </w:p>
    <w:p>
      <w:pPr>
        <w:pStyle w:val="Normal"/>
        <w:rPr/>
      </w:pPr>
      <w:r>
        <w:rPr/>
        <w:t xml:space="preserve">  </w:t>
      </w:r>
      <w:r>
        <w:rPr>
          <w:u w:val="single"/>
        </w:rPr>
        <w:t>Postdoc/senior researcher:</w:t>
      </w:r>
    </w:p>
    <w:p>
      <w:pPr>
        <w:pStyle w:val="Normal"/>
        <w:rPr/>
      </w:pPr>
      <w:r>
        <w:rPr/>
        <w:t xml:space="preserve">  </w:t>
      </w:r>
      <w:r>
        <w:rPr/>
        <w:t>Arun Tadepalli (Hall A/C, local)</w:t>
      </w:r>
    </w:p>
    <w:p>
      <w:pPr>
        <w:pStyle w:val="Normal"/>
        <w:rPr/>
      </w:pPr>
      <w:r>
        <w:rPr/>
        <w:t xml:space="preserve">  </w:t>
      </w:r>
      <w:r>
        <w:rPr/>
        <w:t>Jixie Zhang (UVa, local)</w:t>
      </w:r>
    </w:p>
    <w:p>
      <w:pPr>
        <w:pStyle w:val="Normal"/>
        <w:rPr/>
      </w:pPr>
      <w:r>
        <w:rPr/>
        <w:t xml:space="preserve">  </w:t>
      </w:r>
      <w:r>
        <w:rPr/>
        <w:t xml:space="preserve">Bill Henry (Hall C, local) ← need confirm </w:t>
      </w:r>
    </w:p>
    <w:p>
      <w:pPr>
        <w:pStyle w:val="Normal"/>
        <w:rPr/>
      </w:pPr>
      <w:r>
        <w:rPr/>
        <w:t xml:space="preserve">  </w:t>
      </w:r>
      <w:r>
        <w:rPr/>
        <w:t>Syvelster Joosten (Temple, not local)</w:t>
      </w:r>
    </w:p>
    <w:p>
      <w:pPr>
        <w:pStyle w:val="Normal"/>
        <w:rPr/>
      </w:pPr>
      <w:r>
        <w:rPr/>
        <w:t xml:space="preserve">  </w:t>
      </w:r>
      <w:r>
        <w:rPr/>
        <w:t>partial W&amp;M postdoc (Todd A., can only be RC).</w:t>
      </w:r>
    </w:p>
    <w:p>
      <w:pPr>
        <w:pStyle w:val="Normal"/>
        <w:rPr/>
      </w:pPr>
      <w:r>
        <w:rPr/>
        <w:t xml:space="preserve">  </w:t>
      </w:r>
      <w:r>
        <w:rPr/>
        <w:t>possible Temple postdoc???</w:t>
      </w:r>
    </w:p>
    <w:p>
      <w:pPr>
        <w:pStyle w:val="Normal"/>
        <w:rPr/>
      </w:pPr>
      <w:r>
        <w:rPr/>
      </w:r>
    </w:p>
    <w:p>
      <w:pPr>
        <w:pStyle w:val="Normal"/>
        <w:rPr/>
      </w:pPr>
      <w:r>
        <w:rPr>
          <w:color w:val="FF00CC"/>
        </w:rPr>
        <w:t>Summary of manpower need that popped up during today’s meeting</w:t>
      </w:r>
      <w:r>
        <w:rPr/>
        <w:t>:</w:t>
      </w:r>
    </w:p>
    <w:p>
      <w:pPr>
        <w:pStyle w:val="Normal"/>
        <w:rPr/>
      </w:pPr>
      <w:r>
        <w:rPr/>
        <w:t xml:space="preserve">– </w:t>
      </w:r>
      <w:r>
        <w:rPr/>
        <w:t>Analysis need – significant and urgent</w:t>
      </w:r>
    </w:p>
    <w:p>
      <w:pPr>
        <w:pStyle w:val="Normal"/>
        <w:rPr/>
      </w:pPr>
      <w:r>
        <w:rPr/>
        <w:t xml:space="preserve">– </w:t>
      </w:r>
      <w:r>
        <w:rPr/>
        <w:t>Moller expert and Moller student – significant and urgent</w:t>
      </w:r>
    </w:p>
    <w:p>
      <w:pPr>
        <w:pStyle w:val="Normal"/>
        <w:rPr/>
      </w:pPr>
      <w:r>
        <w:rPr/>
        <w:t xml:space="preserve">– </w:t>
      </w:r>
      <w:r>
        <w:rPr/>
        <w:t>Parity need (expert level) – need involve some parity experts</w:t>
      </w:r>
    </w:p>
    <w:p>
      <w:pPr>
        <w:pStyle w:val="Normal"/>
        <w:rPr/>
      </w:pPr>
      <w:r>
        <w:rPr/>
        <w:t xml:space="preserve">– </w:t>
      </w:r>
      <w:r>
        <w:rPr/>
        <w:t>Raster need – partial student may be okay, does not need to be a thesis student (?).</w:t>
      </w:r>
    </w:p>
    <w:p>
      <w:pPr>
        <w:pStyle w:val="Normal"/>
        <w:rPr/>
      </w:pPr>
      <w:r>
        <w:rPr/>
      </w:r>
    </w:p>
    <w:p>
      <w:pPr>
        <w:pStyle w:val="Normal"/>
        <w:rPr/>
      </w:pPr>
      <w:r>
        <w:rPr/>
        <w:t xml:space="preserve">– </w:t>
      </w:r>
      <w:r>
        <w:rPr/>
        <w:t>On shift signup page/schedule: Too early to set this up.</w:t>
      </w:r>
    </w:p>
    <w:p>
      <w:pPr>
        <w:pStyle w:val="Normal"/>
        <w:rPr/>
      </w:pPr>
      <w:r>
        <w:rPr/>
      </w:r>
    </w:p>
    <w:p>
      <w:pPr>
        <w:pStyle w:val="Normal"/>
        <w:rPr/>
      </w:pPr>
      <w:r>
        <w:rPr/>
        <w:t xml:space="preserve">(XZ, </w:t>
      </w:r>
      <w:r>
        <w:rPr/>
        <w:t>based on discussion with Doug H. and Brad S</w:t>
      </w:r>
      <w:r>
        <w:rPr/>
        <w:t xml:space="preserve">: </w:t>
      </w:r>
    </w:p>
    <w:p>
      <w:pPr>
        <w:pStyle w:val="Normal"/>
        <w:rPr/>
      </w:pPr>
      <w:r>
        <w:rPr/>
        <w:t xml:space="preserve">possible requirement is </w:t>
      </w:r>
      <w:r>
        <w:rPr/>
        <w:t xml:space="preserve">18 shift “points” for two experiments or 12 for single experiment. </w:t>
      </w:r>
    </w:p>
    <w:p>
      <w:pPr>
        <w:pStyle w:val="Normal"/>
        <w:rPr/>
      </w:pPr>
      <w:r>
        <w:rPr/>
        <w:t xml:space="preserve">1 weekday day shift = 1 shift point; </w:t>
      </w:r>
    </w:p>
    <w:p>
      <w:pPr>
        <w:pStyle w:val="Normal"/>
        <w:rPr/>
      </w:pPr>
      <w:r>
        <w:rPr/>
        <w:t>1 weekday swing shift= 1.5 shift point;</w:t>
      </w:r>
    </w:p>
    <w:p>
      <w:pPr>
        <w:pStyle w:val="Normal"/>
        <w:rPr/>
      </w:pPr>
      <w:r>
        <w:rPr/>
        <w:t xml:space="preserve">1 weekend day or swing shift = 1.5 point; </w:t>
      </w:r>
    </w:p>
    <w:p>
      <w:pPr>
        <w:pStyle w:val="Normal"/>
        <w:rPr/>
      </w:pPr>
      <w:r>
        <w:rPr/>
        <w:t>1 owl shift any day = 2 points.</w:t>
      </w:r>
    </w:p>
    <w:p>
      <w:pPr>
        <w:pStyle w:val="Normal"/>
        <w:rPr/>
      </w:pPr>
      <w:r>
        <w:rPr/>
        <w:t>1 shift on X’mas even or X’mas Day = infinite points …  … )</w:t>
      </w:r>
    </w:p>
    <w:p>
      <w:pPr>
        <w:pStyle w:val="Normal"/>
        <w:rPr/>
      </w:pPr>
      <w:r>
        <w:rPr/>
      </w:r>
    </w:p>
    <w:p>
      <w:pPr>
        <w:pStyle w:val="Normal"/>
        <w:rPr/>
      </w:pPr>
      <w:r>
        <w:rPr/>
        <w:t xml:space="preserve">– </w:t>
      </w:r>
      <w:r>
        <w:rPr/>
        <w:t>estimate total number of shifts needed: 4 months * 30 days * 3 shifts = 600 shifts.</w:t>
      </w:r>
    </w:p>
    <w:p>
      <w:pPr>
        <w:pStyle w:val="Normal"/>
        <w:rPr/>
      </w:pPr>
      <w:r>
        <w:rPr/>
        <w:t xml:space="preserve">– </w:t>
      </w:r>
      <w:r>
        <w:rPr/>
        <w:t>estimate total number of RCs needed: 4 months * 30 days/ 10 days = 12 RCs.</w:t>
      </w:r>
    </w:p>
    <w:p>
      <w:pPr>
        <w:pStyle w:val="Normal"/>
        <w:rPr/>
      </w:pPr>
      <w:r>
        <w:rPr/>
      </w:r>
    </w:p>
    <w:p>
      <w:pPr>
        <w:pStyle w:val="Normal"/>
        <w:rPr/>
      </w:pPr>
      <w:r>
        <w:rPr/>
      </w:r>
      <w:r>
        <w:br w:type="page"/>
      </w:r>
    </w:p>
    <w:p>
      <w:pPr>
        <w:pStyle w:val="Normal"/>
        <w:rPr/>
      </w:pPr>
      <w:r>
        <w:rPr>
          <w:b/>
          <w:bCs/>
        </w:rPr>
        <w:t xml:space="preserve">Appendix </w:t>
      </w:r>
      <w:r>
        <w:rPr>
          <w:b/>
          <w:bCs/>
        </w:rPr>
        <w:t>A</w:t>
      </w:r>
      <w:r>
        <w:rPr>
          <w:b/>
          <w:bCs/>
        </w:rPr>
        <w:t>:</w:t>
      </w:r>
      <w:r>
        <w:rPr/>
        <w:t xml:space="preserve"> </w:t>
      </w:r>
    </w:p>
    <w:p>
      <w:pPr>
        <w:pStyle w:val="Normal"/>
        <w:rPr/>
      </w:pPr>
      <w:r>
        <w:rPr/>
      </w:r>
    </w:p>
    <w:p>
      <w:pPr>
        <w:pStyle w:val="Normal"/>
        <w:rPr/>
      </w:pPr>
      <w:r>
        <w:rPr/>
        <w:t>Magnet Iset for all kinematics, by Sylvester J.</w:t>
      </w:r>
    </w:p>
    <w:p>
      <w:pPr>
        <w:pStyle w:val="Normal"/>
        <w:rPr/>
      </w:pPr>
      <w:r>
        <w:rPr/>
      </w:r>
    </w:p>
    <w:tbl>
      <w:tblPr>
        <w:tblW w:w="8152" w:type="dxa"/>
        <w:jc w:val="left"/>
        <w:tblInd w:w="0" w:type="dxa"/>
        <w:tblBorders>
          <w:right w:val="single" w:sz="2" w:space="0" w:color="000000"/>
          <w:insideV w:val="single" w:sz="2" w:space="0" w:color="000000"/>
        </w:tblBorders>
        <w:tblCellMar>
          <w:top w:w="0" w:type="dxa"/>
          <w:left w:w="0" w:type="dxa"/>
          <w:bottom w:w="0" w:type="dxa"/>
          <w:right w:w="28" w:type="dxa"/>
        </w:tblCellMar>
      </w:tblPr>
      <w:tblGrid>
        <w:gridCol w:w="712"/>
        <w:gridCol w:w="930"/>
        <w:gridCol w:w="930"/>
        <w:gridCol w:w="570"/>
        <w:gridCol w:w="1035"/>
        <w:gridCol w:w="1005"/>
        <w:gridCol w:w="1005"/>
        <w:gridCol w:w="990"/>
        <w:gridCol w:w="975"/>
      </w:tblGrid>
      <w:tr>
        <w:trPr/>
        <w:tc>
          <w:tcPr>
            <w:tcW w:w="712" w:type="dxa"/>
            <w:tcBorders>
              <w:right w:val="single" w:sz="2" w:space="0" w:color="000000"/>
              <w:insideV w:val="single" w:sz="2" w:space="0" w:color="000000"/>
            </w:tcBorders>
            <w:shd w:fill="D9EAD3" w:val="clear"/>
            <w:vAlign w:val="center"/>
          </w:tcPr>
          <w:p>
            <w:pPr>
              <w:pStyle w:val="TableContents"/>
              <w:rPr>
                <w:b/>
                <w:b/>
                <w:bCs/>
                <w:sz w:val="24"/>
                <w:szCs w:val="24"/>
              </w:rPr>
            </w:pPr>
            <w:r>
              <w:rPr>
                <w:b/>
                <w:sz w:val="24"/>
              </w:rPr>
              <w:t>A1n HMS</w:t>
            </w:r>
          </w:p>
        </w:tc>
        <w:tc>
          <w:tcPr>
            <w:tcW w:w="930" w:type="dxa"/>
            <w:tcBorders/>
            <w:shd w:fill="D9EAD3" w:val="clear"/>
            <w:tcMar>
              <w:right w:w="0" w:type="dxa"/>
            </w:tcMar>
            <w:vAlign w:val="center"/>
          </w:tcPr>
          <w:p>
            <w:pPr>
              <w:pStyle w:val="TableContents"/>
              <w:rPr>
                <w:sz w:val="4"/>
                <w:szCs w:val="4"/>
              </w:rPr>
            </w:pPr>
            <w:r>
              <w:rPr>
                <w:sz w:val="4"/>
                <w:szCs w:val="4"/>
              </w:rPr>
            </w:r>
          </w:p>
        </w:tc>
        <w:tc>
          <w:tcPr>
            <w:tcW w:w="930" w:type="dxa"/>
            <w:tcBorders/>
            <w:shd w:fill="D9EAD3" w:val="clear"/>
            <w:tcMar>
              <w:right w:w="0" w:type="dxa"/>
            </w:tcMar>
            <w:vAlign w:val="center"/>
          </w:tcPr>
          <w:p>
            <w:pPr>
              <w:pStyle w:val="TableContents"/>
              <w:rPr>
                <w:sz w:val="4"/>
                <w:szCs w:val="4"/>
              </w:rPr>
            </w:pPr>
            <w:r>
              <w:rPr>
                <w:sz w:val="4"/>
                <w:szCs w:val="4"/>
              </w:rPr>
            </w:r>
          </w:p>
        </w:tc>
        <w:tc>
          <w:tcPr>
            <w:tcW w:w="570" w:type="dxa"/>
            <w:tcBorders/>
            <w:shd w:fill="D9EAD3" w:val="clear"/>
            <w:tcMar>
              <w:right w:w="0" w:type="dxa"/>
            </w:tcMar>
            <w:vAlign w:val="center"/>
          </w:tcPr>
          <w:p>
            <w:pPr>
              <w:pStyle w:val="TableContents"/>
              <w:rPr>
                <w:sz w:val="4"/>
                <w:szCs w:val="4"/>
              </w:rPr>
            </w:pPr>
            <w:r>
              <w:rPr>
                <w:sz w:val="4"/>
                <w:szCs w:val="4"/>
              </w:rPr>
            </w:r>
          </w:p>
        </w:tc>
        <w:tc>
          <w:tcPr>
            <w:tcW w:w="1035" w:type="dxa"/>
            <w:tcBorders/>
            <w:shd w:fill="D9EAD3" w:val="clear"/>
            <w:tcMar>
              <w:right w:w="0" w:type="dxa"/>
            </w:tcMar>
            <w:vAlign w:val="center"/>
          </w:tcPr>
          <w:p>
            <w:pPr>
              <w:pStyle w:val="TableContents"/>
              <w:rPr>
                <w:sz w:val="4"/>
                <w:szCs w:val="4"/>
              </w:rPr>
            </w:pPr>
            <w:r>
              <w:rPr>
                <w:sz w:val="4"/>
                <w:szCs w:val="4"/>
              </w:rPr>
            </w:r>
          </w:p>
        </w:tc>
        <w:tc>
          <w:tcPr>
            <w:tcW w:w="1005" w:type="dxa"/>
            <w:tcBorders/>
            <w:shd w:fill="D9EAD3" w:val="clear"/>
            <w:tcMar>
              <w:right w:w="0" w:type="dxa"/>
            </w:tcMar>
            <w:vAlign w:val="center"/>
          </w:tcPr>
          <w:p>
            <w:pPr>
              <w:pStyle w:val="TableContents"/>
              <w:rPr>
                <w:sz w:val="4"/>
                <w:szCs w:val="4"/>
              </w:rPr>
            </w:pPr>
            <w:r>
              <w:rPr>
                <w:sz w:val="4"/>
                <w:szCs w:val="4"/>
              </w:rPr>
            </w:r>
          </w:p>
        </w:tc>
        <w:tc>
          <w:tcPr>
            <w:tcW w:w="1005" w:type="dxa"/>
            <w:tcBorders/>
            <w:shd w:fill="D9EAD3" w:val="clear"/>
            <w:tcMar>
              <w:right w:w="0" w:type="dxa"/>
            </w:tcMar>
            <w:vAlign w:val="center"/>
          </w:tcPr>
          <w:p>
            <w:pPr>
              <w:pStyle w:val="TableContents"/>
              <w:rPr>
                <w:sz w:val="4"/>
                <w:szCs w:val="4"/>
              </w:rPr>
            </w:pPr>
            <w:r>
              <w:rPr>
                <w:sz w:val="4"/>
                <w:szCs w:val="4"/>
              </w:rPr>
            </w:r>
          </w:p>
        </w:tc>
        <w:tc>
          <w:tcPr>
            <w:tcW w:w="990" w:type="dxa"/>
            <w:tcBorders/>
            <w:shd w:fill="D9EAD3" w:val="clear"/>
            <w:tcMar>
              <w:right w:w="0" w:type="dxa"/>
            </w:tcMar>
            <w:vAlign w:val="center"/>
          </w:tcPr>
          <w:p>
            <w:pPr>
              <w:pStyle w:val="TableContents"/>
              <w:rPr>
                <w:sz w:val="4"/>
                <w:szCs w:val="4"/>
              </w:rPr>
            </w:pPr>
            <w:r>
              <w:rPr>
                <w:sz w:val="4"/>
                <w:szCs w:val="4"/>
              </w:rPr>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D9EAD3" w:val="clear"/>
            <w:tcMar>
              <w:right w:w="0" w:type="dxa"/>
            </w:tcMar>
            <w:vAlign w:val="center"/>
          </w:tcPr>
          <w:p>
            <w:pPr>
              <w:pStyle w:val="TableContents"/>
              <w:jc w:val="center"/>
              <w:rPr>
                <w:b/>
              </w:rPr>
            </w:pPr>
            <w:r>
              <w:rPr>
                <w:b/>
              </w:rPr>
              <w:t>Kin</w:t>
            </w:r>
          </w:p>
        </w:tc>
        <w:tc>
          <w:tcPr>
            <w:tcW w:w="930" w:type="dxa"/>
            <w:tcBorders/>
            <w:shd w:fill="D9EAD3" w:val="clear"/>
            <w:tcMar>
              <w:right w:w="0" w:type="dxa"/>
            </w:tcMar>
            <w:vAlign w:val="center"/>
          </w:tcPr>
          <w:p>
            <w:pPr>
              <w:pStyle w:val="TableContents"/>
              <w:jc w:val="center"/>
              <w:rPr>
                <w:b/>
              </w:rPr>
            </w:pPr>
            <w:r>
              <w:rPr>
                <w:b/>
              </w:rPr>
              <w:t>Eb (GeV)</w:t>
            </w:r>
          </w:p>
        </w:tc>
        <w:tc>
          <w:tcPr>
            <w:tcW w:w="930" w:type="dxa"/>
            <w:tcBorders/>
            <w:shd w:fill="D9EAD3" w:val="clear"/>
            <w:tcMar>
              <w:right w:w="0" w:type="dxa"/>
            </w:tcMar>
            <w:vAlign w:val="center"/>
          </w:tcPr>
          <w:p>
            <w:pPr>
              <w:pStyle w:val="TableContents"/>
              <w:jc w:val="center"/>
              <w:rPr>
                <w:b/>
              </w:rPr>
            </w:pPr>
            <w:r>
              <w:rPr>
                <w:b/>
              </w:rPr>
              <w:t>Ep (GeV)</w:t>
            </w:r>
          </w:p>
        </w:tc>
        <w:tc>
          <w:tcPr>
            <w:tcW w:w="570" w:type="dxa"/>
            <w:tcBorders/>
            <w:shd w:fill="D9EAD3" w:val="clear"/>
            <w:tcMar>
              <w:right w:w="0" w:type="dxa"/>
            </w:tcMar>
            <w:vAlign w:val="center"/>
          </w:tcPr>
          <w:p>
            <w:pPr>
              <w:pStyle w:val="TableContents"/>
              <w:jc w:val="center"/>
              <w:rPr>
                <w:b/>
              </w:rPr>
            </w:pPr>
            <w:r>
              <w:rPr>
                <w:b/>
              </w:rPr>
              <w:t>theta</w:t>
            </w:r>
          </w:p>
        </w:tc>
        <w:tc>
          <w:tcPr>
            <w:tcW w:w="1035" w:type="dxa"/>
            <w:tcBorders/>
            <w:shd w:fill="D9EAD3" w:val="clear"/>
            <w:tcMar>
              <w:right w:w="0" w:type="dxa"/>
            </w:tcMar>
            <w:vAlign w:val="center"/>
          </w:tcPr>
          <w:p>
            <w:pPr>
              <w:pStyle w:val="TableContents"/>
              <w:jc w:val="center"/>
              <w:rPr>
                <w:b/>
              </w:rPr>
            </w:pPr>
            <w:r>
              <w:rPr>
                <w:b/>
              </w:rPr>
              <w:t>Q1 I (A)</w:t>
            </w:r>
          </w:p>
        </w:tc>
        <w:tc>
          <w:tcPr>
            <w:tcW w:w="1005" w:type="dxa"/>
            <w:tcBorders/>
            <w:shd w:fill="D9EAD3" w:val="clear"/>
            <w:tcMar>
              <w:right w:w="0" w:type="dxa"/>
            </w:tcMar>
            <w:vAlign w:val="center"/>
          </w:tcPr>
          <w:p>
            <w:pPr>
              <w:pStyle w:val="TableContents"/>
              <w:jc w:val="center"/>
              <w:rPr>
                <w:b/>
              </w:rPr>
            </w:pPr>
            <w:r>
              <w:rPr>
                <w:b/>
              </w:rPr>
              <w:t>Q2 I (A)</w:t>
            </w:r>
          </w:p>
        </w:tc>
        <w:tc>
          <w:tcPr>
            <w:tcW w:w="1005" w:type="dxa"/>
            <w:tcBorders/>
            <w:shd w:fill="D9EAD3" w:val="clear"/>
            <w:tcMar>
              <w:right w:w="0" w:type="dxa"/>
            </w:tcMar>
            <w:vAlign w:val="center"/>
          </w:tcPr>
          <w:p>
            <w:pPr>
              <w:pStyle w:val="TableContents"/>
              <w:jc w:val="center"/>
              <w:rPr>
                <w:b/>
              </w:rPr>
            </w:pPr>
            <w:r>
              <w:rPr>
                <w:b/>
              </w:rPr>
              <w:t>Q3 I (A)</w:t>
            </w:r>
          </w:p>
        </w:tc>
        <w:tc>
          <w:tcPr>
            <w:tcW w:w="990" w:type="dxa"/>
            <w:tcBorders/>
            <w:shd w:fill="D9EAD3" w:val="clear"/>
            <w:tcMar>
              <w:right w:w="0" w:type="dxa"/>
            </w:tcMar>
            <w:vAlign w:val="center"/>
          </w:tcPr>
          <w:p>
            <w:pPr>
              <w:pStyle w:val="TableContents"/>
              <w:jc w:val="center"/>
              <w:rPr>
                <w:b/>
              </w:rPr>
            </w:pPr>
            <w:r>
              <w:rPr>
                <w:b/>
              </w:rPr>
              <w:t>D I (A)</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1</w:t>
            </w:r>
          </w:p>
        </w:tc>
        <w:tc>
          <w:tcPr>
            <w:tcW w:w="930" w:type="dxa"/>
            <w:tcBorders/>
            <w:shd w:fill="FFFFFF" w:val="clear"/>
            <w:tcMar>
              <w:right w:w="0" w:type="dxa"/>
            </w:tcMar>
            <w:vAlign w:val="center"/>
          </w:tcPr>
          <w:p>
            <w:pPr>
              <w:pStyle w:val="TableContents"/>
              <w:jc w:val="right"/>
              <w:rPr/>
            </w:pPr>
            <w:r>
              <w:rPr/>
              <w:t>10.5</w:t>
            </w:r>
          </w:p>
        </w:tc>
        <w:tc>
          <w:tcPr>
            <w:tcW w:w="930" w:type="dxa"/>
            <w:tcBorders/>
            <w:shd w:fill="FFFFFF" w:val="clear"/>
            <w:tcMar>
              <w:right w:w="0" w:type="dxa"/>
            </w:tcMar>
            <w:vAlign w:val="center"/>
          </w:tcPr>
          <w:p>
            <w:pPr>
              <w:pStyle w:val="TableContents"/>
              <w:jc w:val="right"/>
              <w:rPr/>
            </w:pPr>
            <w:r>
              <w:rPr/>
              <w:t>5.7</w:t>
            </w:r>
          </w:p>
        </w:tc>
        <w:tc>
          <w:tcPr>
            <w:tcW w:w="570" w:type="dxa"/>
            <w:tcBorders/>
            <w:shd w:fill="FFFFFF" w:val="clear"/>
            <w:tcMar>
              <w:right w:w="0" w:type="dxa"/>
            </w:tcMar>
            <w:vAlign w:val="center"/>
          </w:tcPr>
          <w:p>
            <w:pPr>
              <w:pStyle w:val="TableContents"/>
              <w:jc w:val="right"/>
              <w:rPr/>
            </w:pPr>
            <w:r>
              <w:rPr/>
              <w:t>12.5</w:t>
            </w:r>
          </w:p>
        </w:tc>
        <w:tc>
          <w:tcPr>
            <w:tcW w:w="1035" w:type="dxa"/>
            <w:tcBorders/>
            <w:shd w:fill="FFFFFF" w:val="clear"/>
            <w:tcMar>
              <w:right w:w="0" w:type="dxa"/>
            </w:tcMar>
            <w:vAlign w:val="center"/>
          </w:tcPr>
          <w:p>
            <w:pPr>
              <w:pStyle w:val="TableContents"/>
              <w:jc w:val="right"/>
              <w:rPr/>
            </w:pPr>
            <w:r>
              <w:rPr/>
              <w:t>743.33</w:t>
            </w:r>
          </w:p>
        </w:tc>
        <w:tc>
          <w:tcPr>
            <w:tcW w:w="1005" w:type="dxa"/>
            <w:tcBorders/>
            <w:shd w:fill="FFFFFF" w:val="clear"/>
            <w:tcMar>
              <w:right w:w="0" w:type="dxa"/>
            </w:tcMar>
            <w:vAlign w:val="center"/>
          </w:tcPr>
          <w:p>
            <w:pPr>
              <w:pStyle w:val="TableContents"/>
              <w:jc w:val="right"/>
              <w:rPr/>
            </w:pPr>
            <w:r>
              <w:rPr/>
              <w:t>596.05</w:t>
            </w:r>
          </w:p>
        </w:tc>
        <w:tc>
          <w:tcPr>
            <w:tcW w:w="1005" w:type="dxa"/>
            <w:tcBorders/>
            <w:shd w:fill="FFFFFF" w:val="clear"/>
            <w:tcMar>
              <w:right w:w="0" w:type="dxa"/>
            </w:tcMar>
            <w:vAlign w:val="center"/>
          </w:tcPr>
          <w:p>
            <w:pPr>
              <w:pStyle w:val="TableContents"/>
              <w:jc w:val="right"/>
              <w:rPr/>
            </w:pPr>
            <w:r>
              <w:rPr/>
              <w:t>286.91</w:t>
            </w:r>
          </w:p>
        </w:tc>
        <w:tc>
          <w:tcPr>
            <w:tcW w:w="990" w:type="dxa"/>
            <w:tcBorders/>
            <w:shd w:fill="FFFFFF" w:val="clear"/>
            <w:tcMar>
              <w:right w:w="0" w:type="dxa"/>
            </w:tcMar>
            <w:vAlign w:val="center"/>
          </w:tcPr>
          <w:p>
            <w:pPr>
              <w:pStyle w:val="TableContents"/>
              <w:jc w:val="right"/>
              <w:rPr/>
            </w:pPr>
            <w:r>
              <w:rPr/>
              <w:t>1,829.95</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2</w:t>
            </w:r>
          </w:p>
        </w:tc>
        <w:tc>
          <w:tcPr>
            <w:tcW w:w="930" w:type="dxa"/>
            <w:tcBorders/>
            <w:shd w:fill="FFFFFF" w:val="clear"/>
            <w:tcMar>
              <w:right w:w="0" w:type="dxa"/>
            </w:tcMar>
            <w:vAlign w:val="center"/>
          </w:tcPr>
          <w:p>
            <w:pPr>
              <w:pStyle w:val="TableContents"/>
              <w:jc w:val="right"/>
              <w:rPr/>
            </w:pPr>
            <w:r>
              <w:rPr/>
              <w:t>10.5</w:t>
            </w:r>
          </w:p>
        </w:tc>
        <w:tc>
          <w:tcPr>
            <w:tcW w:w="930" w:type="dxa"/>
            <w:tcBorders/>
            <w:shd w:fill="FFFFFF" w:val="clear"/>
            <w:tcMar>
              <w:right w:w="0" w:type="dxa"/>
            </w:tcMar>
            <w:vAlign w:val="center"/>
          </w:tcPr>
          <w:p>
            <w:pPr>
              <w:pStyle w:val="TableContents"/>
              <w:jc w:val="right"/>
              <w:rPr/>
            </w:pPr>
            <w:r>
              <w:rPr/>
              <w:t>6.8</w:t>
            </w:r>
          </w:p>
        </w:tc>
        <w:tc>
          <w:tcPr>
            <w:tcW w:w="570" w:type="dxa"/>
            <w:tcBorders/>
            <w:shd w:fill="FFFFFF" w:val="clear"/>
            <w:tcMar>
              <w:right w:w="0" w:type="dxa"/>
            </w:tcMar>
            <w:vAlign w:val="center"/>
          </w:tcPr>
          <w:p>
            <w:pPr>
              <w:pStyle w:val="TableContents"/>
              <w:jc w:val="right"/>
              <w:rPr/>
            </w:pPr>
            <w:r>
              <w:rPr/>
              <w:t>12.5</w:t>
            </w:r>
          </w:p>
        </w:tc>
        <w:tc>
          <w:tcPr>
            <w:tcW w:w="1035" w:type="dxa"/>
            <w:tcBorders/>
            <w:shd w:fill="FFFFFF" w:val="clear"/>
            <w:tcMar>
              <w:right w:w="0" w:type="dxa"/>
            </w:tcMar>
            <w:vAlign w:val="center"/>
          </w:tcPr>
          <w:p>
            <w:pPr>
              <w:pStyle w:val="TableContents"/>
              <w:jc w:val="right"/>
              <w:rPr/>
            </w:pPr>
            <w:r>
              <w:rPr/>
              <w:t>893.16</w:t>
            </w:r>
          </w:p>
        </w:tc>
        <w:tc>
          <w:tcPr>
            <w:tcW w:w="1005" w:type="dxa"/>
            <w:tcBorders/>
            <w:shd w:fill="FFFFFF" w:val="clear"/>
            <w:tcMar>
              <w:right w:w="0" w:type="dxa"/>
            </w:tcMar>
            <w:vAlign w:val="center"/>
          </w:tcPr>
          <w:p>
            <w:pPr>
              <w:pStyle w:val="TableContents"/>
              <w:jc w:val="right"/>
              <w:rPr/>
            </w:pPr>
            <w:r>
              <w:rPr/>
              <w:t>737.26</w:t>
            </w:r>
          </w:p>
        </w:tc>
        <w:tc>
          <w:tcPr>
            <w:tcW w:w="1005" w:type="dxa"/>
            <w:tcBorders/>
            <w:shd w:fill="FFFFFF" w:val="clear"/>
            <w:tcMar>
              <w:right w:w="0" w:type="dxa"/>
            </w:tcMar>
            <w:vAlign w:val="center"/>
          </w:tcPr>
          <w:p>
            <w:pPr>
              <w:pStyle w:val="TableContents"/>
              <w:jc w:val="right"/>
              <w:rPr/>
            </w:pPr>
            <w:r>
              <w:rPr/>
              <w:t>342.20</w:t>
            </w:r>
          </w:p>
        </w:tc>
        <w:tc>
          <w:tcPr>
            <w:tcW w:w="990" w:type="dxa"/>
            <w:tcBorders/>
            <w:shd w:fill="FFFFFF" w:val="clear"/>
            <w:tcMar>
              <w:right w:w="0" w:type="dxa"/>
            </w:tcMar>
            <w:vAlign w:val="center"/>
          </w:tcPr>
          <w:p>
            <w:pPr>
              <w:pStyle w:val="TableContents"/>
              <w:jc w:val="right"/>
              <w:rPr/>
            </w:pPr>
            <w:r>
              <w:rPr/>
              <w:t>2,416.52</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3</w:t>
            </w:r>
          </w:p>
        </w:tc>
        <w:tc>
          <w:tcPr>
            <w:tcW w:w="930" w:type="dxa"/>
            <w:tcBorders/>
            <w:shd w:fill="FFFFFF" w:val="clear"/>
            <w:tcMar>
              <w:right w:w="0" w:type="dxa"/>
            </w:tcMar>
            <w:vAlign w:val="center"/>
          </w:tcPr>
          <w:p>
            <w:pPr>
              <w:pStyle w:val="TableContents"/>
              <w:jc w:val="right"/>
              <w:rPr/>
            </w:pPr>
            <w:r>
              <w:rPr/>
              <w:t>10.5</w:t>
            </w:r>
          </w:p>
        </w:tc>
        <w:tc>
          <w:tcPr>
            <w:tcW w:w="930" w:type="dxa"/>
            <w:tcBorders/>
            <w:shd w:fill="FFFFFF" w:val="clear"/>
            <w:tcMar>
              <w:right w:w="0" w:type="dxa"/>
            </w:tcMar>
            <w:vAlign w:val="center"/>
          </w:tcPr>
          <w:p>
            <w:pPr>
              <w:pStyle w:val="TableContents"/>
              <w:jc w:val="right"/>
              <w:rPr/>
            </w:pPr>
            <w:r>
              <w:rPr/>
              <w:t>2.9</w:t>
            </w:r>
          </w:p>
        </w:tc>
        <w:tc>
          <w:tcPr>
            <w:tcW w:w="570" w:type="dxa"/>
            <w:tcBorders/>
            <w:shd w:fill="FFFFFF" w:val="clear"/>
            <w:tcMar>
              <w:right w:w="0" w:type="dxa"/>
            </w:tcMar>
            <w:vAlign w:val="center"/>
          </w:tcPr>
          <w:p>
            <w:pPr>
              <w:pStyle w:val="TableContents"/>
              <w:jc w:val="right"/>
              <w:rPr/>
            </w:pPr>
            <w:r>
              <w:rPr/>
              <w:t>30</w:t>
            </w:r>
          </w:p>
        </w:tc>
        <w:tc>
          <w:tcPr>
            <w:tcW w:w="1035" w:type="dxa"/>
            <w:tcBorders/>
            <w:shd w:fill="FFFFFF" w:val="clear"/>
            <w:tcMar>
              <w:right w:w="0" w:type="dxa"/>
            </w:tcMar>
            <w:vAlign w:val="center"/>
          </w:tcPr>
          <w:p>
            <w:pPr>
              <w:pStyle w:val="TableContents"/>
              <w:jc w:val="right"/>
              <w:rPr/>
            </w:pPr>
            <w:r>
              <w:rPr/>
              <w:t>377.78</w:t>
            </w:r>
          </w:p>
        </w:tc>
        <w:tc>
          <w:tcPr>
            <w:tcW w:w="1005" w:type="dxa"/>
            <w:tcBorders/>
            <w:shd w:fill="FFFFFF" w:val="clear"/>
            <w:tcMar>
              <w:right w:w="0" w:type="dxa"/>
            </w:tcMar>
            <w:vAlign w:val="center"/>
          </w:tcPr>
          <w:p>
            <w:pPr>
              <w:pStyle w:val="TableContents"/>
              <w:jc w:val="right"/>
              <w:rPr/>
            </w:pPr>
            <w:r>
              <w:rPr/>
              <w:t>300.35</w:t>
            </w:r>
          </w:p>
        </w:tc>
        <w:tc>
          <w:tcPr>
            <w:tcW w:w="1005" w:type="dxa"/>
            <w:tcBorders/>
            <w:shd w:fill="FFFFFF" w:val="clear"/>
            <w:tcMar>
              <w:right w:w="0" w:type="dxa"/>
            </w:tcMar>
            <w:vAlign w:val="center"/>
          </w:tcPr>
          <w:p>
            <w:pPr>
              <w:pStyle w:val="TableContents"/>
              <w:jc w:val="right"/>
              <w:rPr/>
            </w:pPr>
            <w:r>
              <w:rPr/>
              <w:t>146.18</w:t>
            </w:r>
          </w:p>
        </w:tc>
        <w:tc>
          <w:tcPr>
            <w:tcW w:w="990" w:type="dxa"/>
            <w:tcBorders/>
            <w:shd w:fill="FFFFFF" w:val="clear"/>
            <w:tcMar>
              <w:right w:w="0" w:type="dxa"/>
            </w:tcMar>
            <w:vAlign w:val="center"/>
          </w:tcPr>
          <w:p>
            <w:pPr>
              <w:pStyle w:val="TableContents"/>
              <w:jc w:val="right"/>
              <w:rPr/>
            </w:pPr>
            <w:r>
              <w:rPr/>
              <w:t>888.71</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4</w:t>
            </w:r>
          </w:p>
        </w:tc>
        <w:tc>
          <w:tcPr>
            <w:tcW w:w="930" w:type="dxa"/>
            <w:tcBorders/>
            <w:shd w:fill="FFFFFF" w:val="clear"/>
            <w:tcMar>
              <w:right w:w="0" w:type="dxa"/>
            </w:tcMar>
            <w:vAlign w:val="center"/>
          </w:tcPr>
          <w:p>
            <w:pPr>
              <w:pStyle w:val="TableContents"/>
              <w:jc w:val="right"/>
              <w:rPr/>
            </w:pPr>
            <w:r>
              <w:rPr/>
              <w:t>10.5</w:t>
            </w:r>
          </w:p>
        </w:tc>
        <w:tc>
          <w:tcPr>
            <w:tcW w:w="930" w:type="dxa"/>
            <w:tcBorders/>
            <w:shd w:fill="FFFFFF" w:val="clear"/>
            <w:tcMar>
              <w:right w:w="0" w:type="dxa"/>
            </w:tcMar>
            <w:vAlign w:val="center"/>
          </w:tcPr>
          <w:p>
            <w:pPr>
              <w:pStyle w:val="TableContents"/>
              <w:jc w:val="right"/>
              <w:rPr/>
            </w:pPr>
            <w:r>
              <w:rPr/>
              <w:t>3.5</w:t>
            </w:r>
          </w:p>
        </w:tc>
        <w:tc>
          <w:tcPr>
            <w:tcW w:w="570" w:type="dxa"/>
            <w:tcBorders/>
            <w:shd w:fill="FFFFFF" w:val="clear"/>
            <w:tcMar>
              <w:right w:w="0" w:type="dxa"/>
            </w:tcMar>
            <w:vAlign w:val="center"/>
          </w:tcPr>
          <w:p>
            <w:pPr>
              <w:pStyle w:val="TableContents"/>
              <w:jc w:val="right"/>
              <w:rPr/>
            </w:pPr>
            <w:r>
              <w:rPr/>
              <w:t>30</w:t>
            </w:r>
          </w:p>
        </w:tc>
        <w:tc>
          <w:tcPr>
            <w:tcW w:w="1035" w:type="dxa"/>
            <w:tcBorders/>
            <w:shd w:fill="FFFFFF" w:val="clear"/>
            <w:tcMar>
              <w:right w:w="0" w:type="dxa"/>
            </w:tcMar>
            <w:vAlign w:val="center"/>
          </w:tcPr>
          <w:p>
            <w:pPr>
              <w:pStyle w:val="TableContents"/>
              <w:jc w:val="right"/>
              <w:rPr/>
            </w:pPr>
            <w:r>
              <w:rPr/>
              <w:t>455.97</w:t>
            </w:r>
          </w:p>
        </w:tc>
        <w:tc>
          <w:tcPr>
            <w:tcW w:w="1005" w:type="dxa"/>
            <w:tcBorders/>
            <w:shd w:fill="FFFFFF" w:val="clear"/>
            <w:tcMar>
              <w:right w:w="0" w:type="dxa"/>
            </w:tcMar>
            <w:vAlign w:val="center"/>
          </w:tcPr>
          <w:p>
            <w:pPr>
              <w:pStyle w:val="TableContents"/>
              <w:jc w:val="right"/>
              <w:rPr/>
            </w:pPr>
            <w:r>
              <w:rPr/>
              <w:t>362.55</w:t>
            </w:r>
          </w:p>
        </w:tc>
        <w:tc>
          <w:tcPr>
            <w:tcW w:w="1005" w:type="dxa"/>
            <w:tcBorders/>
            <w:shd w:fill="FFFFFF" w:val="clear"/>
            <w:tcMar>
              <w:right w:w="0" w:type="dxa"/>
            </w:tcMar>
            <w:vAlign w:val="center"/>
          </w:tcPr>
          <w:p>
            <w:pPr>
              <w:pStyle w:val="TableContents"/>
              <w:jc w:val="right"/>
              <w:rPr/>
            </w:pPr>
            <w:r>
              <w:rPr/>
              <w:t>176.34</w:t>
            </w:r>
          </w:p>
        </w:tc>
        <w:tc>
          <w:tcPr>
            <w:tcW w:w="990" w:type="dxa"/>
            <w:tcBorders/>
            <w:shd w:fill="FFFFFF" w:val="clear"/>
            <w:tcMar>
              <w:right w:w="0" w:type="dxa"/>
            </w:tcMar>
            <w:vAlign w:val="center"/>
          </w:tcPr>
          <w:p>
            <w:pPr>
              <w:pStyle w:val="TableContents"/>
              <w:jc w:val="right"/>
              <w:rPr/>
            </w:pPr>
            <w:r>
              <w:rPr/>
              <w:t>1,072.52</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right w:val="single" w:sz="2" w:space="0" w:color="000000"/>
              <w:insideV w:val="single" w:sz="2" w:space="0" w:color="000000"/>
            </w:tcBorders>
            <w:shd w:fill="F4CCCC" w:val="clear"/>
            <w:vAlign w:val="center"/>
          </w:tcPr>
          <w:p>
            <w:pPr>
              <w:pStyle w:val="TableContents"/>
              <w:rPr>
                <w:b/>
                <w:b/>
                <w:bCs/>
                <w:sz w:val="24"/>
                <w:szCs w:val="24"/>
              </w:rPr>
            </w:pPr>
            <w:r>
              <w:rPr>
                <w:b/>
                <w:sz w:val="24"/>
              </w:rPr>
              <w:t>A1n SHMS</w:t>
            </w:r>
          </w:p>
        </w:tc>
        <w:tc>
          <w:tcPr>
            <w:tcW w:w="930" w:type="dxa"/>
            <w:tcBorders/>
            <w:shd w:fill="F4CCCC" w:val="clear"/>
            <w:tcMar>
              <w:right w:w="0" w:type="dxa"/>
            </w:tcMar>
            <w:vAlign w:val="center"/>
          </w:tcPr>
          <w:p>
            <w:pPr>
              <w:pStyle w:val="TableContents"/>
              <w:rPr>
                <w:sz w:val="4"/>
                <w:szCs w:val="4"/>
              </w:rPr>
            </w:pPr>
            <w:r>
              <w:rPr>
                <w:sz w:val="4"/>
                <w:szCs w:val="4"/>
              </w:rPr>
            </w:r>
          </w:p>
        </w:tc>
        <w:tc>
          <w:tcPr>
            <w:tcW w:w="930" w:type="dxa"/>
            <w:tcBorders/>
            <w:shd w:fill="F4CCCC" w:val="clear"/>
            <w:tcMar>
              <w:right w:w="0" w:type="dxa"/>
            </w:tcMar>
            <w:vAlign w:val="center"/>
          </w:tcPr>
          <w:p>
            <w:pPr>
              <w:pStyle w:val="TableContents"/>
              <w:rPr>
                <w:sz w:val="4"/>
                <w:szCs w:val="4"/>
              </w:rPr>
            </w:pPr>
            <w:r>
              <w:rPr>
                <w:sz w:val="4"/>
                <w:szCs w:val="4"/>
              </w:rPr>
            </w:r>
          </w:p>
        </w:tc>
        <w:tc>
          <w:tcPr>
            <w:tcW w:w="570" w:type="dxa"/>
            <w:tcBorders/>
            <w:shd w:fill="F4CCCC" w:val="clear"/>
            <w:tcMar>
              <w:right w:w="0" w:type="dxa"/>
            </w:tcMar>
            <w:vAlign w:val="center"/>
          </w:tcPr>
          <w:p>
            <w:pPr>
              <w:pStyle w:val="TableContents"/>
              <w:rPr>
                <w:sz w:val="4"/>
                <w:szCs w:val="4"/>
              </w:rPr>
            </w:pPr>
            <w:r>
              <w:rPr>
                <w:sz w:val="4"/>
                <w:szCs w:val="4"/>
              </w:rPr>
            </w:r>
          </w:p>
        </w:tc>
        <w:tc>
          <w:tcPr>
            <w:tcW w:w="1035" w:type="dxa"/>
            <w:tcBorders/>
            <w:shd w:fill="F4CCCC" w:val="clear"/>
            <w:tcMar>
              <w:right w:w="0" w:type="dxa"/>
            </w:tcMar>
            <w:vAlign w:val="center"/>
          </w:tcPr>
          <w:p>
            <w:pPr>
              <w:pStyle w:val="TableContents"/>
              <w:rPr>
                <w:sz w:val="4"/>
                <w:szCs w:val="4"/>
              </w:rPr>
            </w:pPr>
            <w:r>
              <w:rPr>
                <w:sz w:val="4"/>
                <w:szCs w:val="4"/>
              </w:rPr>
            </w:r>
          </w:p>
        </w:tc>
        <w:tc>
          <w:tcPr>
            <w:tcW w:w="1005" w:type="dxa"/>
            <w:tcBorders/>
            <w:shd w:fill="F4CCCC" w:val="clear"/>
            <w:tcMar>
              <w:right w:w="0" w:type="dxa"/>
            </w:tcMar>
            <w:vAlign w:val="center"/>
          </w:tcPr>
          <w:p>
            <w:pPr>
              <w:pStyle w:val="TableContents"/>
              <w:rPr>
                <w:sz w:val="4"/>
                <w:szCs w:val="4"/>
              </w:rPr>
            </w:pPr>
            <w:r>
              <w:rPr>
                <w:sz w:val="4"/>
                <w:szCs w:val="4"/>
              </w:rPr>
            </w:r>
          </w:p>
        </w:tc>
        <w:tc>
          <w:tcPr>
            <w:tcW w:w="1005" w:type="dxa"/>
            <w:tcBorders/>
            <w:shd w:fill="F4CCCC" w:val="clear"/>
            <w:tcMar>
              <w:right w:w="0" w:type="dxa"/>
            </w:tcMar>
            <w:vAlign w:val="center"/>
          </w:tcPr>
          <w:p>
            <w:pPr>
              <w:pStyle w:val="TableContents"/>
              <w:rPr>
                <w:sz w:val="4"/>
                <w:szCs w:val="4"/>
              </w:rPr>
            </w:pPr>
            <w:r>
              <w:rPr>
                <w:sz w:val="4"/>
                <w:szCs w:val="4"/>
              </w:rPr>
            </w:r>
          </w:p>
        </w:tc>
        <w:tc>
          <w:tcPr>
            <w:tcW w:w="990" w:type="dxa"/>
            <w:tcBorders/>
            <w:shd w:fill="F4CCCC" w:val="clear"/>
            <w:tcMar>
              <w:right w:w="0" w:type="dxa"/>
            </w:tcMar>
            <w:vAlign w:val="center"/>
          </w:tcPr>
          <w:p>
            <w:pPr>
              <w:pStyle w:val="TableContents"/>
              <w:rPr>
                <w:sz w:val="4"/>
                <w:szCs w:val="4"/>
              </w:rPr>
            </w:pPr>
            <w:r>
              <w:rPr>
                <w:sz w:val="4"/>
                <w:szCs w:val="4"/>
              </w:rPr>
            </w:r>
          </w:p>
        </w:tc>
        <w:tc>
          <w:tcPr>
            <w:tcW w:w="975" w:type="dxa"/>
            <w:tcBorders/>
            <w:shd w:fill="F4CCCC" w:val="clear"/>
            <w:tcMar>
              <w:right w:w="0" w:type="dxa"/>
            </w:tcMar>
            <w:vAlign w:val="center"/>
          </w:tcPr>
          <w:p>
            <w:pPr>
              <w:pStyle w:val="TableContents"/>
              <w:rPr>
                <w:sz w:val="4"/>
                <w:szCs w:val="4"/>
              </w:rPr>
            </w:pPr>
            <w:r>
              <w:rPr>
                <w:sz w:val="4"/>
                <w:szCs w:val="4"/>
              </w:rPr>
            </w:r>
          </w:p>
        </w:tc>
      </w:tr>
      <w:tr>
        <w:trPr/>
        <w:tc>
          <w:tcPr>
            <w:tcW w:w="712" w:type="dxa"/>
            <w:tcBorders/>
            <w:shd w:fill="F4CCCC" w:val="clear"/>
            <w:tcMar>
              <w:right w:w="0" w:type="dxa"/>
            </w:tcMar>
            <w:vAlign w:val="center"/>
          </w:tcPr>
          <w:p>
            <w:pPr>
              <w:pStyle w:val="TableContents"/>
              <w:jc w:val="center"/>
              <w:rPr>
                <w:b/>
              </w:rPr>
            </w:pPr>
            <w:r>
              <w:rPr>
                <w:b/>
              </w:rPr>
              <w:t>Kin</w:t>
            </w:r>
          </w:p>
        </w:tc>
        <w:tc>
          <w:tcPr>
            <w:tcW w:w="930" w:type="dxa"/>
            <w:tcBorders/>
            <w:shd w:fill="F4CCCC" w:val="clear"/>
            <w:tcMar>
              <w:right w:w="0" w:type="dxa"/>
            </w:tcMar>
            <w:vAlign w:val="center"/>
          </w:tcPr>
          <w:p>
            <w:pPr>
              <w:pStyle w:val="TableContents"/>
              <w:jc w:val="center"/>
              <w:rPr>
                <w:b/>
              </w:rPr>
            </w:pPr>
            <w:r>
              <w:rPr>
                <w:b/>
              </w:rPr>
              <w:t>Eb (GeV)</w:t>
            </w:r>
          </w:p>
        </w:tc>
        <w:tc>
          <w:tcPr>
            <w:tcW w:w="930" w:type="dxa"/>
            <w:tcBorders/>
            <w:shd w:fill="F4CCCC" w:val="clear"/>
            <w:tcMar>
              <w:right w:w="0" w:type="dxa"/>
            </w:tcMar>
            <w:vAlign w:val="center"/>
          </w:tcPr>
          <w:p>
            <w:pPr>
              <w:pStyle w:val="TableContents"/>
              <w:jc w:val="center"/>
              <w:rPr>
                <w:b/>
              </w:rPr>
            </w:pPr>
            <w:r>
              <w:rPr>
                <w:b/>
              </w:rPr>
              <w:t>Ep (GeV)</w:t>
            </w:r>
          </w:p>
        </w:tc>
        <w:tc>
          <w:tcPr>
            <w:tcW w:w="570" w:type="dxa"/>
            <w:tcBorders/>
            <w:shd w:fill="F4CCCC" w:val="clear"/>
            <w:tcMar>
              <w:right w:w="0" w:type="dxa"/>
            </w:tcMar>
            <w:vAlign w:val="center"/>
          </w:tcPr>
          <w:p>
            <w:pPr>
              <w:pStyle w:val="TableContents"/>
              <w:jc w:val="center"/>
              <w:rPr>
                <w:b/>
              </w:rPr>
            </w:pPr>
            <w:r>
              <w:rPr>
                <w:b/>
              </w:rPr>
              <w:t>theta</w:t>
            </w:r>
          </w:p>
        </w:tc>
        <w:tc>
          <w:tcPr>
            <w:tcW w:w="1035" w:type="dxa"/>
            <w:tcBorders/>
            <w:shd w:fill="F4CCCC" w:val="clear"/>
            <w:tcMar>
              <w:right w:w="0" w:type="dxa"/>
            </w:tcMar>
            <w:vAlign w:val="center"/>
          </w:tcPr>
          <w:p>
            <w:pPr>
              <w:pStyle w:val="TableContents"/>
              <w:jc w:val="center"/>
              <w:rPr>
                <w:b/>
              </w:rPr>
            </w:pPr>
            <w:r>
              <w:rPr>
                <w:b/>
              </w:rPr>
              <w:t>HB I (A)</w:t>
            </w:r>
          </w:p>
        </w:tc>
        <w:tc>
          <w:tcPr>
            <w:tcW w:w="1005" w:type="dxa"/>
            <w:tcBorders/>
            <w:shd w:fill="F4CCCC" w:val="clear"/>
            <w:tcMar>
              <w:right w:w="0" w:type="dxa"/>
            </w:tcMar>
            <w:vAlign w:val="center"/>
          </w:tcPr>
          <w:p>
            <w:pPr>
              <w:pStyle w:val="TableContents"/>
              <w:jc w:val="center"/>
              <w:rPr>
                <w:b/>
              </w:rPr>
            </w:pPr>
            <w:r>
              <w:rPr>
                <w:b/>
              </w:rPr>
              <w:t>Q1 I (A)</w:t>
            </w:r>
          </w:p>
        </w:tc>
        <w:tc>
          <w:tcPr>
            <w:tcW w:w="1005" w:type="dxa"/>
            <w:tcBorders/>
            <w:shd w:fill="F4CCCC" w:val="clear"/>
            <w:tcMar>
              <w:right w:w="0" w:type="dxa"/>
            </w:tcMar>
            <w:vAlign w:val="center"/>
          </w:tcPr>
          <w:p>
            <w:pPr>
              <w:pStyle w:val="TableContents"/>
              <w:jc w:val="center"/>
              <w:rPr>
                <w:b/>
              </w:rPr>
            </w:pPr>
            <w:r>
              <w:rPr>
                <w:b/>
              </w:rPr>
              <w:t>Q2 I (A)</w:t>
            </w:r>
          </w:p>
        </w:tc>
        <w:tc>
          <w:tcPr>
            <w:tcW w:w="990" w:type="dxa"/>
            <w:tcBorders/>
            <w:shd w:fill="F4CCCC" w:val="clear"/>
            <w:tcMar>
              <w:right w:w="0" w:type="dxa"/>
            </w:tcMar>
            <w:vAlign w:val="center"/>
          </w:tcPr>
          <w:p>
            <w:pPr>
              <w:pStyle w:val="TableContents"/>
              <w:jc w:val="center"/>
              <w:rPr>
                <w:b/>
              </w:rPr>
            </w:pPr>
            <w:r>
              <w:rPr>
                <w:b/>
              </w:rPr>
              <w:t>Q3 I (A)</w:t>
            </w:r>
          </w:p>
        </w:tc>
        <w:tc>
          <w:tcPr>
            <w:tcW w:w="975" w:type="dxa"/>
            <w:tcBorders/>
            <w:shd w:fill="F4CCCC" w:val="clear"/>
            <w:tcMar>
              <w:right w:w="0" w:type="dxa"/>
            </w:tcMar>
            <w:vAlign w:val="center"/>
          </w:tcPr>
          <w:p>
            <w:pPr>
              <w:pStyle w:val="TableContents"/>
              <w:jc w:val="center"/>
              <w:rPr>
                <w:b/>
              </w:rPr>
            </w:pPr>
            <w:r>
              <w:rPr>
                <w:b/>
              </w:rPr>
              <w:t>D I (A)</w:t>
            </w:r>
          </w:p>
        </w:tc>
      </w:tr>
      <w:tr>
        <w:trPr/>
        <w:tc>
          <w:tcPr>
            <w:tcW w:w="712" w:type="dxa"/>
            <w:tcBorders/>
            <w:shd w:fill="auto" w:val="clear"/>
            <w:tcMar>
              <w:right w:w="0" w:type="dxa"/>
            </w:tcMar>
            <w:vAlign w:val="center"/>
          </w:tcPr>
          <w:p>
            <w:pPr>
              <w:pStyle w:val="TableContents"/>
              <w:jc w:val="right"/>
              <w:rPr/>
            </w:pPr>
            <w:r>
              <w:rPr/>
              <w:t>A</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5.8</w:t>
            </w:r>
          </w:p>
        </w:tc>
        <w:tc>
          <w:tcPr>
            <w:tcW w:w="570" w:type="dxa"/>
            <w:tcBorders/>
            <w:shd w:fill="auto" w:val="clear"/>
            <w:tcMar>
              <w:right w:w="0" w:type="dxa"/>
            </w:tcMar>
            <w:vAlign w:val="center"/>
          </w:tcPr>
          <w:p>
            <w:pPr>
              <w:pStyle w:val="TableContents"/>
              <w:jc w:val="right"/>
              <w:rPr/>
            </w:pPr>
            <w:r>
              <w:rPr/>
              <w:t>12.5</w:t>
            </w:r>
          </w:p>
        </w:tc>
        <w:tc>
          <w:tcPr>
            <w:tcW w:w="1035" w:type="dxa"/>
            <w:tcBorders/>
            <w:shd w:fill="auto" w:val="clear"/>
            <w:tcMar>
              <w:right w:w="0" w:type="dxa"/>
            </w:tcMar>
            <w:vAlign w:val="center"/>
          </w:tcPr>
          <w:p>
            <w:pPr>
              <w:pStyle w:val="TableContents"/>
              <w:jc w:val="right"/>
              <w:rPr/>
            </w:pPr>
            <w:r>
              <w:rPr/>
              <w:t>1,946.82</w:t>
            </w:r>
          </w:p>
        </w:tc>
        <w:tc>
          <w:tcPr>
            <w:tcW w:w="1005" w:type="dxa"/>
            <w:tcBorders/>
            <w:shd w:fill="auto" w:val="clear"/>
            <w:tcMar>
              <w:right w:w="0" w:type="dxa"/>
            </w:tcMar>
            <w:vAlign w:val="center"/>
          </w:tcPr>
          <w:p>
            <w:pPr>
              <w:pStyle w:val="TableContents"/>
              <w:jc w:val="right"/>
              <w:rPr/>
            </w:pPr>
            <w:r>
              <w:rPr/>
              <w:t>1,217.82</w:t>
            </w:r>
          </w:p>
        </w:tc>
        <w:tc>
          <w:tcPr>
            <w:tcW w:w="1005" w:type="dxa"/>
            <w:tcBorders/>
            <w:shd w:fill="auto" w:val="clear"/>
            <w:tcMar>
              <w:right w:w="0" w:type="dxa"/>
            </w:tcMar>
            <w:vAlign w:val="center"/>
          </w:tcPr>
          <w:p>
            <w:pPr>
              <w:pStyle w:val="TableContents"/>
              <w:jc w:val="right"/>
              <w:rPr/>
            </w:pPr>
            <w:r>
              <w:rPr/>
              <w:t>2,045.55</w:t>
            </w:r>
          </w:p>
        </w:tc>
        <w:tc>
          <w:tcPr>
            <w:tcW w:w="990" w:type="dxa"/>
            <w:tcBorders/>
            <w:shd w:fill="auto" w:val="clear"/>
            <w:tcMar>
              <w:right w:w="0" w:type="dxa"/>
            </w:tcMar>
            <w:vAlign w:val="center"/>
          </w:tcPr>
          <w:p>
            <w:pPr>
              <w:pStyle w:val="TableContents"/>
              <w:jc w:val="right"/>
              <w:rPr/>
            </w:pPr>
            <w:r>
              <w:rPr/>
              <w:t>1,345.96</w:t>
            </w:r>
          </w:p>
        </w:tc>
        <w:tc>
          <w:tcPr>
            <w:tcW w:w="975" w:type="dxa"/>
            <w:tcBorders/>
            <w:shd w:fill="auto" w:val="clear"/>
            <w:tcMar>
              <w:right w:w="0" w:type="dxa"/>
            </w:tcMar>
            <w:vAlign w:val="center"/>
          </w:tcPr>
          <w:p>
            <w:pPr>
              <w:pStyle w:val="TableContents"/>
              <w:jc w:val="right"/>
              <w:rPr/>
            </w:pPr>
            <w:r>
              <w:rPr/>
              <w:t>1,850.55</w:t>
            </w:r>
          </w:p>
        </w:tc>
      </w:tr>
      <w:tr>
        <w:trPr/>
        <w:tc>
          <w:tcPr>
            <w:tcW w:w="712" w:type="dxa"/>
            <w:tcBorders/>
            <w:shd w:fill="auto" w:val="clear"/>
            <w:tcMar>
              <w:right w:w="0" w:type="dxa"/>
            </w:tcMar>
            <w:vAlign w:val="center"/>
          </w:tcPr>
          <w:p>
            <w:pPr>
              <w:pStyle w:val="TableContents"/>
              <w:jc w:val="right"/>
              <w:rPr/>
            </w:pPr>
            <w:r>
              <w:rPr/>
              <w:t>B</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3.4</w:t>
            </w:r>
          </w:p>
        </w:tc>
        <w:tc>
          <w:tcPr>
            <w:tcW w:w="570" w:type="dxa"/>
            <w:tcBorders/>
            <w:shd w:fill="auto" w:val="clear"/>
            <w:tcMar>
              <w:right w:w="0" w:type="dxa"/>
            </w:tcMar>
            <w:vAlign w:val="center"/>
          </w:tcPr>
          <w:p>
            <w:pPr>
              <w:pStyle w:val="TableContents"/>
              <w:jc w:val="right"/>
              <w:rPr/>
            </w:pPr>
            <w:r>
              <w:rPr/>
              <w:t>30</w:t>
            </w:r>
          </w:p>
        </w:tc>
        <w:tc>
          <w:tcPr>
            <w:tcW w:w="1035" w:type="dxa"/>
            <w:tcBorders/>
            <w:shd w:fill="auto" w:val="clear"/>
            <w:tcMar>
              <w:right w:w="0" w:type="dxa"/>
            </w:tcMar>
            <w:vAlign w:val="center"/>
          </w:tcPr>
          <w:p>
            <w:pPr>
              <w:pStyle w:val="TableContents"/>
              <w:jc w:val="right"/>
              <w:rPr/>
            </w:pPr>
            <w:r>
              <w:rPr/>
              <w:t>1,127.68</w:t>
            </w:r>
          </w:p>
        </w:tc>
        <w:tc>
          <w:tcPr>
            <w:tcW w:w="1005" w:type="dxa"/>
            <w:tcBorders/>
            <w:shd w:fill="auto" w:val="clear"/>
            <w:tcMar>
              <w:right w:w="0" w:type="dxa"/>
            </w:tcMar>
            <w:vAlign w:val="center"/>
          </w:tcPr>
          <w:p>
            <w:pPr>
              <w:pStyle w:val="TableContents"/>
              <w:jc w:val="right"/>
              <w:rPr/>
            </w:pPr>
            <w:r>
              <w:rPr/>
              <w:t>713.90</w:t>
            </w:r>
          </w:p>
        </w:tc>
        <w:tc>
          <w:tcPr>
            <w:tcW w:w="1005" w:type="dxa"/>
            <w:tcBorders/>
            <w:shd w:fill="auto" w:val="clear"/>
            <w:tcMar>
              <w:right w:w="0" w:type="dxa"/>
            </w:tcMar>
            <w:vAlign w:val="center"/>
          </w:tcPr>
          <w:p>
            <w:pPr>
              <w:pStyle w:val="TableContents"/>
              <w:jc w:val="right"/>
              <w:rPr/>
            </w:pPr>
            <w:r>
              <w:rPr/>
              <w:t>1,199.12</w:t>
            </w:r>
          </w:p>
        </w:tc>
        <w:tc>
          <w:tcPr>
            <w:tcW w:w="990" w:type="dxa"/>
            <w:tcBorders/>
            <w:shd w:fill="auto" w:val="clear"/>
            <w:tcMar>
              <w:right w:w="0" w:type="dxa"/>
            </w:tcMar>
            <w:vAlign w:val="center"/>
          </w:tcPr>
          <w:p>
            <w:pPr>
              <w:pStyle w:val="TableContents"/>
              <w:jc w:val="right"/>
              <w:rPr/>
            </w:pPr>
            <w:r>
              <w:rPr/>
              <w:t>789.01</w:t>
            </w:r>
          </w:p>
        </w:tc>
        <w:tc>
          <w:tcPr>
            <w:tcW w:w="975" w:type="dxa"/>
            <w:tcBorders/>
            <w:shd w:fill="auto" w:val="clear"/>
            <w:tcMar>
              <w:right w:w="0" w:type="dxa"/>
            </w:tcMar>
            <w:vAlign w:val="center"/>
          </w:tcPr>
          <w:p>
            <w:pPr>
              <w:pStyle w:val="TableContents"/>
              <w:jc w:val="right"/>
              <w:rPr/>
            </w:pPr>
            <w:r>
              <w:rPr/>
              <w:t>1,084.81</w:t>
            </w:r>
          </w:p>
        </w:tc>
      </w:tr>
      <w:tr>
        <w:trPr/>
        <w:tc>
          <w:tcPr>
            <w:tcW w:w="712" w:type="dxa"/>
            <w:tcBorders/>
            <w:shd w:fill="auto" w:val="clear"/>
            <w:tcMar>
              <w:right w:w="0" w:type="dxa"/>
            </w:tcMar>
            <w:vAlign w:val="center"/>
          </w:tcPr>
          <w:p>
            <w:pPr>
              <w:pStyle w:val="TableContents"/>
              <w:jc w:val="right"/>
              <w:rPr/>
            </w:pPr>
            <w:r>
              <w:rPr/>
              <w:t>C</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2.4</w:t>
            </w:r>
          </w:p>
        </w:tc>
        <w:tc>
          <w:tcPr>
            <w:tcW w:w="570" w:type="dxa"/>
            <w:tcBorders/>
            <w:shd w:fill="auto" w:val="clear"/>
            <w:tcMar>
              <w:right w:w="0" w:type="dxa"/>
            </w:tcMar>
            <w:vAlign w:val="center"/>
          </w:tcPr>
          <w:p>
            <w:pPr>
              <w:pStyle w:val="TableContents"/>
              <w:jc w:val="right"/>
              <w:rPr/>
            </w:pPr>
            <w:r>
              <w:rPr/>
              <w:t>30</w:t>
            </w:r>
          </w:p>
        </w:tc>
        <w:tc>
          <w:tcPr>
            <w:tcW w:w="1035" w:type="dxa"/>
            <w:tcBorders/>
            <w:shd w:fill="auto" w:val="clear"/>
            <w:tcMar>
              <w:right w:w="0" w:type="dxa"/>
            </w:tcMar>
            <w:vAlign w:val="center"/>
          </w:tcPr>
          <w:p>
            <w:pPr>
              <w:pStyle w:val="TableContents"/>
              <w:jc w:val="right"/>
              <w:rPr/>
            </w:pPr>
            <w:r>
              <w:rPr/>
              <w:t>793.91</w:t>
            </w:r>
          </w:p>
        </w:tc>
        <w:tc>
          <w:tcPr>
            <w:tcW w:w="1005" w:type="dxa"/>
            <w:tcBorders/>
            <w:shd w:fill="auto" w:val="clear"/>
            <w:tcMar>
              <w:right w:w="0" w:type="dxa"/>
            </w:tcMar>
            <w:vAlign w:val="center"/>
          </w:tcPr>
          <w:p>
            <w:pPr>
              <w:pStyle w:val="TableContents"/>
              <w:jc w:val="right"/>
              <w:rPr/>
            </w:pPr>
            <w:r>
              <w:rPr/>
              <w:t>503.93</w:t>
            </w:r>
          </w:p>
        </w:tc>
        <w:tc>
          <w:tcPr>
            <w:tcW w:w="1005" w:type="dxa"/>
            <w:tcBorders/>
            <w:shd w:fill="auto" w:val="clear"/>
            <w:tcMar>
              <w:right w:w="0" w:type="dxa"/>
            </w:tcMar>
            <w:vAlign w:val="center"/>
          </w:tcPr>
          <w:p>
            <w:pPr>
              <w:pStyle w:val="TableContents"/>
              <w:jc w:val="right"/>
              <w:rPr/>
            </w:pPr>
            <w:r>
              <w:rPr/>
              <w:t>846.44</w:t>
            </w:r>
          </w:p>
        </w:tc>
        <w:tc>
          <w:tcPr>
            <w:tcW w:w="990" w:type="dxa"/>
            <w:tcBorders/>
            <w:shd w:fill="auto" w:val="clear"/>
            <w:tcMar>
              <w:right w:w="0" w:type="dxa"/>
            </w:tcMar>
            <w:vAlign w:val="center"/>
          </w:tcPr>
          <w:p>
            <w:pPr>
              <w:pStyle w:val="TableContents"/>
              <w:jc w:val="right"/>
              <w:rPr/>
            </w:pPr>
            <w:r>
              <w:rPr/>
              <w:t>556.95</w:t>
            </w:r>
          </w:p>
        </w:tc>
        <w:tc>
          <w:tcPr>
            <w:tcW w:w="975" w:type="dxa"/>
            <w:tcBorders/>
            <w:shd w:fill="auto" w:val="clear"/>
            <w:tcMar>
              <w:right w:w="0" w:type="dxa"/>
            </w:tcMar>
            <w:vAlign w:val="center"/>
          </w:tcPr>
          <w:p>
            <w:pPr>
              <w:pStyle w:val="TableContents"/>
              <w:jc w:val="right"/>
              <w:rPr/>
            </w:pPr>
            <w:r>
              <w:rPr/>
              <w:t>765.75</w:t>
            </w:r>
          </w:p>
        </w:tc>
      </w:tr>
      <w:tr>
        <w:trPr/>
        <w:tc>
          <w:tcPr>
            <w:tcW w:w="712" w:type="dxa"/>
            <w:tcBorders/>
            <w:shd w:fill="auto" w:val="clear"/>
            <w:tcMar>
              <w:right w:w="0" w:type="dxa"/>
            </w:tcMar>
            <w:vAlign w:val="center"/>
          </w:tcPr>
          <w:p>
            <w:pPr>
              <w:pStyle w:val="TableContents"/>
              <w:jc w:val="right"/>
              <w:rPr/>
            </w:pPr>
            <w:r>
              <w:rPr/>
              <w:t>D</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7.5</w:t>
            </w:r>
          </w:p>
        </w:tc>
        <w:tc>
          <w:tcPr>
            <w:tcW w:w="570" w:type="dxa"/>
            <w:tcBorders/>
            <w:shd w:fill="auto" w:val="clear"/>
            <w:tcMar>
              <w:right w:w="0" w:type="dxa"/>
            </w:tcMar>
            <w:vAlign w:val="center"/>
          </w:tcPr>
          <w:p>
            <w:pPr>
              <w:pStyle w:val="TableContents"/>
              <w:jc w:val="right"/>
              <w:rPr/>
            </w:pPr>
            <w:r>
              <w:rPr/>
              <w:t>12.5</w:t>
            </w:r>
          </w:p>
        </w:tc>
        <w:tc>
          <w:tcPr>
            <w:tcW w:w="1035" w:type="dxa"/>
            <w:tcBorders/>
            <w:shd w:fill="auto" w:val="clear"/>
            <w:tcMar>
              <w:right w:w="0" w:type="dxa"/>
            </w:tcMar>
            <w:vAlign w:val="center"/>
          </w:tcPr>
          <w:p>
            <w:pPr>
              <w:pStyle w:val="TableContents"/>
              <w:jc w:val="right"/>
              <w:rPr/>
            </w:pPr>
            <w:r>
              <w:rPr/>
              <w:t>2,552.33</w:t>
            </w:r>
          </w:p>
        </w:tc>
        <w:tc>
          <w:tcPr>
            <w:tcW w:w="1005" w:type="dxa"/>
            <w:tcBorders/>
            <w:shd w:fill="auto" w:val="clear"/>
            <w:tcMar>
              <w:right w:w="0" w:type="dxa"/>
            </w:tcMar>
            <w:vAlign w:val="center"/>
          </w:tcPr>
          <w:p>
            <w:pPr>
              <w:pStyle w:val="TableContents"/>
              <w:jc w:val="right"/>
              <w:rPr/>
            </w:pPr>
            <w:r>
              <w:rPr/>
              <w:t>1,582.75</w:t>
            </w:r>
          </w:p>
        </w:tc>
        <w:tc>
          <w:tcPr>
            <w:tcW w:w="1005" w:type="dxa"/>
            <w:tcBorders/>
            <w:shd w:fill="auto" w:val="clear"/>
            <w:tcMar>
              <w:right w:w="0" w:type="dxa"/>
            </w:tcMar>
            <w:vAlign w:val="center"/>
          </w:tcPr>
          <w:p>
            <w:pPr>
              <w:pStyle w:val="TableContents"/>
              <w:jc w:val="right"/>
              <w:rPr/>
            </w:pPr>
            <w:r>
              <w:rPr/>
              <w:t>2,645.11</w:t>
            </w:r>
          </w:p>
        </w:tc>
        <w:tc>
          <w:tcPr>
            <w:tcW w:w="990" w:type="dxa"/>
            <w:tcBorders/>
            <w:shd w:fill="auto" w:val="clear"/>
            <w:tcMar>
              <w:right w:w="0" w:type="dxa"/>
            </w:tcMar>
            <w:vAlign w:val="center"/>
          </w:tcPr>
          <w:p>
            <w:pPr>
              <w:pStyle w:val="TableContents"/>
              <w:jc w:val="right"/>
              <w:rPr/>
            </w:pPr>
            <w:r>
              <w:rPr/>
              <w:t>1,740.46</w:t>
            </w:r>
          </w:p>
        </w:tc>
        <w:tc>
          <w:tcPr>
            <w:tcW w:w="975" w:type="dxa"/>
            <w:tcBorders/>
            <w:shd w:fill="auto" w:val="clear"/>
            <w:tcMar>
              <w:right w:w="0" w:type="dxa"/>
            </w:tcMar>
            <w:vAlign w:val="center"/>
          </w:tcPr>
          <w:p>
            <w:pPr>
              <w:pStyle w:val="TableContents"/>
              <w:jc w:val="right"/>
              <w:rPr/>
            </w:pPr>
            <w:r>
              <w:rPr/>
              <w:t>2,392.95</w:t>
            </w:r>
          </w:p>
        </w:tc>
      </w:tr>
      <w:tr>
        <w:trPr/>
        <w:tc>
          <w:tcPr>
            <w:tcW w:w="712" w:type="dxa"/>
            <w:tcBorders/>
            <w:shd w:fill="auto" w:val="clear"/>
            <w:tcMar>
              <w:right w:w="0" w:type="dxa"/>
            </w:tcMar>
            <w:vAlign w:val="center"/>
          </w:tcPr>
          <w:p>
            <w:pPr>
              <w:pStyle w:val="TableContents"/>
              <w:rPr>
                <w:sz w:val="4"/>
                <w:szCs w:val="4"/>
              </w:rPr>
            </w:pPr>
            <w:r>
              <w:rPr>
                <w:sz w:val="4"/>
                <w:szCs w:val="4"/>
              </w:rPr>
            </w:r>
          </w:p>
        </w:tc>
        <w:tc>
          <w:tcPr>
            <w:tcW w:w="930" w:type="dxa"/>
            <w:tcBorders/>
            <w:shd w:fill="auto" w:val="clear"/>
            <w:tcMar>
              <w:right w:w="0" w:type="dxa"/>
            </w:tcMar>
            <w:vAlign w:val="center"/>
          </w:tcPr>
          <w:p>
            <w:pPr>
              <w:pStyle w:val="TableContents"/>
              <w:rPr>
                <w:sz w:val="4"/>
                <w:szCs w:val="4"/>
              </w:rPr>
            </w:pPr>
            <w:r>
              <w:rPr>
                <w:sz w:val="4"/>
                <w:szCs w:val="4"/>
              </w:rPr>
            </w:r>
          </w:p>
        </w:tc>
        <w:tc>
          <w:tcPr>
            <w:tcW w:w="930" w:type="dxa"/>
            <w:tcBorders/>
            <w:shd w:fill="auto" w:val="clear"/>
            <w:tcMar>
              <w:right w:w="0" w:type="dxa"/>
            </w:tcMar>
            <w:vAlign w:val="center"/>
          </w:tcPr>
          <w:p>
            <w:pPr>
              <w:pStyle w:val="TableContents"/>
              <w:rPr>
                <w:sz w:val="4"/>
                <w:szCs w:val="4"/>
              </w:rPr>
            </w:pPr>
            <w:r>
              <w:rPr>
                <w:sz w:val="4"/>
                <w:szCs w:val="4"/>
              </w:rPr>
            </w:r>
          </w:p>
        </w:tc>
        <w:tc>
          <w:tcPr>
            <w:tcW w:w="570" w:type="dxa"/>
            <w:tcBorders/>
            <w:shd w:fill="auto" w:val="clear"/>
            <w:tcMar>
              <w:right w:w="0" w:type="dxa"/>
            </w:tcMar>
            <w:vAlign w:val="center"/>
          </w:tcPr>
          <w:p>
            <w:pPr>
              <w:pStyle w:val="TableContents"/>
              <w:rPr>
                <w:sz w:val="4"/>
                <w:szCs w:val="4"/>
              </w:rPr>
            </w:pPr>
            <w:r>
              <w:rPr>
                <w:sz w:val="4"/>
                <w:szCs w:val="4"/>
              </w:rPr>
            </w:r>
          </w:p>
        </w:tc>
        <w:tc>
          <w:tcPr>
            <w:tcW w:w="1035" w:type="dxa"/>
            <w:tcBorders/>
            <w:shd w:fill="auto" w:val="clear"/>
            <w:tcMar>
              <w:right w:w="0" w:type="dxa"/>
            </w:tcMar>
            <w:vAlign w:val="center"/>
          </w:tcPr>
          <w:p>
            <w:pPr>
              <w:pStyle w:val="TableContents"/>
              <w:rPr>
                <w:sz w:val="4"/>
                <w:szCs w:val="4"/>
              </w:rPr>
            </w:pPr>
            <w:r>
              <w:rPr>
                <w:sz w:val="4"/>
                <w:szCs w:val="4"/>
              </w:rPr>
            </w:r>
          </w:p>
        </w:tc>
        <w:tc>
          <w:tcPr>
            <w:tcW w:w="1005" w:type="dxa"/>
            <w:tcBorders/>
            <w:shd w:fill="auto" w:val="clear"/>
            <w:tcMar>
              <w:right w:w="0" w:type="dxa"/>
            </w:tcMar>
            <w:vAlign w:val="center"/>
          </w:tcPr>
          <w:p>
            <w:pPr>
              <w:pStyle w:val="TableContents"/>
              <w:rPr>
                <w:sz w:val="4"/>
                <w:szCs w:val="4"/>
              </w:rPr>
            </w:pPr>
            <w:r>
              <w:rPr>
                <w:sz w:val="4"/>
                <w:szCs w:val="4"/>
              </w:rPr>
            </w:r>
          </w:p>
        </w:tc>
        <w:tc>
          <w:tcPr>
            <w:tcW w:w="1005" w:type="dxa"/>
            <w:tcBorders/>
            <w:shd w:fill="auto" w:val="clear"/>
            <w:tcMar>
              <w:right w:w="0" w:type="dxa"/>
            </w:tcMar>
            <w:vAlign w:val="center"/>
          </w:tcPr>
          <w:p>
            <w:pPr>
              <w:pStyle w:val="TableContents"/>
              <w:rPr>
                <w:sz w:val="4"/>
                <w:szCs w:val="4"/>
              </w:rPr>
            </w:pPr>
            <w:r>
              <w:rPr>
                <w:sz w:val="4"/>
                <w:szCs w:val="4"/>
              </w:rPr>
            </w:r>
          </w:p>
        </w:tc>
        <w:tc>
          <w:tcPr>
            <w:tcW w:w="990" w:type="dxa"/>
            <w:tcBorders/>
            <w:shd w:fill="auto" w:val="clear"/>
            <w:tcMar>
              <w:right w:w="0" w:type="dxa"/>
            </w:tcMar>
            <w:vAlign w:val="center"/>
          </w:tcPr>
          <w:p>
            <w:pPr>
              <w:pStyle w:val="TableContents"/>
              <w:rPr>
                <w:sz w:val="4"/>
                <w:szCs w:val="4"/>
              </w:rPr>
            </w:pPr>
            <w:r>
              <w:rPr>
                <w:sz w:val="4"/>
                <w:szCs w:val="4"/>
              </w:rPr>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right w:val="single" w:sz="2" w:space="0" w:color="000000"/>
              <w:insideV w:val="single" w:sz="2" w:space="0" w:color="000000"/>
            </w:tcBorders>
            <w:shd w:fill="D9EAD3" w:val="clear"/>
            <w:vAlign w:val="center"/>
          </w:tcPr>
          <w:p>
            <w:pPr>
              <w:pStyle w:val="TableContents"/>
              <w:rPr>
                <w:b/>
                <w:b/>
                <w:bCs/>
                <w:sz w:val="24"/>
                <w:szCs w:val="24"/>
              </w:rPr>
            </w:pPr>
            <w:r>
              <w:rPr>
                <w:b/>
                <w:sz w:val="24"/>
              </w:rPr>
              <w:t>d2n HMS</w:t>
            </w:r>
          </w:p>
        </w:tc>
        <w:tc>
          <w:tcPr>
            <w:tcW w:w="930" w:type="dxa"/>
            <w:tcBorders/>
            <w:shd w:fill="D9EAD3" w:val="clear"/>
            <w:tcMar>
              <w:right w:w="0" w:type="dxa"/>
            </w:tcMar>
            <w:vAlign w:val="center"/>
          </w:tcPr>
          <w:p>
            <w:pPr>
              <w:pStyle w:val="TableContents"/>
              <w:rPr>
                <w:sz w:val="4"/>
                <w:szCs w:val="4"/>
              </w:rPr>
            </w:pPr>
            <w:r>
              <w:rPr>
                <w:sz w:val="4"/>
                <w:szCs w:val="4"/>
              </w:rPr>
            </w:r>
          </w:p>
        </w:tc>
        <w:tc>
          <w:tcPr>
            <w:tcW w:w="930" w:type="dxa"/>
            <w:tcBorders/>
            <w:shd w:fill="D9EAD3" w:val="clear"/>
            <w:tcMar>
              <w:right w:w="0" w:type="dxa"/>
            </w:tcMar>
            <w:vAlign w:val="center"/>
          </w:tcPr>
          <w:p>
            <w:pPr>
              <w:pStyle w:val="TableContents"/>
              <w:rPr>
                <w:sz w:val="4"/>
                <w:szCs w:val="4"/>
              </w:rPr>
            </w:pPr>
            <w:r>
              <w:rPr>
                <w:sz w:val="4"/>
                <w:szCs w:val="4"/>
              </w:rPr>
            </w:r>
          </w:p>
        </w:tc>
        <w:tc>
          <w:tcPr>
            <w:tcW w:w="570" w:type="dxa"/>
            <w:tcBorders/>
            <w:shd w:fill="D9EAD3" w:val="clear"/>
            <w:tcMar>
              <w:right w:w="0" w:type="dxa"/>
            </w:tcMar>
            <w:vAlign w:val="center"/>
          </w:tcPr>
          <w:p>
            <w:pPr>
              <w:pStyle w:val="TableContents"/>
              <w:rPr>
                <w:sz w:val="4"/>
                <w:szCs w:val="4"/>
              </w:rPr>
            </w:pPr>
            <w:r>
              <w:rPr>
                <w:sz w:val="4"/>
                <w:szCs w:val="4"/>
              </w:rPr>
            </w:r>
          </w:p>
        </w:tc>
        <w:tc>
          <w:tcPr>
            <w:tcW w:w="1035" w:type="dxa"/>
            <w:tcBorders/>
            <w:shd w:fill="D9EAD3" w:val="clear"/>
            <w:tcMar>
              <w:right w:w="0" w:type="dxa"/>
            </w:tcMar>
            <w:vAlign w:val="center"/>
          </w:tcPr>
          <w:p>
            <w:pPr>
              <w:pStyle w:val="TableContents"/>
              <w:rPr>
                <w:sz w:val="4"/>
                <w:szCs w:val="4"/>
              </w:rPr>
            </w:pPr>
            <w:r>
              <w:rPr>
                <w:sz w:val="4"/>
                <w:szCs w:val="4"/>
              </w:rPr>
            </w:r>
          </w:p>
        </w:tc>
        <w:tc>
          <w:tcPr>
            <w:tcW w:w="1005" w:type="dxa"/>
            <w:tcBorders/>
            <w:shd w:fill="D9EAD3" w:val="clear"/>
            <w:tcMar>
              <w:right w:w="0" w:type="dxa"/>
            </w:tcMar>
            <w:vAlign w:val="center"/>
          </w:tcPr>
          <w:p>
            <w:pPr>
              <w:pStyle w:val="TableContents"/>
              <w:rPr>
                <w:sz w:val="4"/>
                <w:szCs w:val="4"/>
              </w:rPr>
            </w:pPr>
            <w:r>
              <w:rPr>
                <w:sz w:val="4"/>
                <w:szCs w:val="4"/>
              </w:rPr>
            </w:r>
          </w:p>
        </w:tc>
        <w:tc>
          <w:tcPr>
            <w:tcW w:w="1005" w:type="dxa"/>
            <w:tcBorders/>
            <w:shd w:fill="D9EAD3" w:val="clear"/>
            <w:tcMar>
              <w:right w:w="0" w:type="dxa"/>
            </w:tcMar>
            <w:vAlign w:val="center"/>
          </w:tcPr>
          <w:p>
            <w:pPr>
              <w:pStyle w:val="TableContents"/>
              <w:rPr>
                <w:sz w:val="4"/>
                <w:szCs w:val="4"/>
              </w:rPr>
            </w:pPr>
            <w:r>
              <w:rPr>
                <w:sz w:val="4"/>
                <w:szCs w:val="4"/>
              </w:rPr>
            </w:r>
          </w:p>
        </w:tc>
        <w:tc>
          <w:tcPr>
            <w:tcW w:w="990" w:type="dxa"/>
            <w:tcBorders/>
            <w:shd w:fill="D9EAD3" w:val="clear"/>
            <w:tcMar>
              <w:right w:w="0" w:type="dxa"/>
            </w:tcMar>
            <w:vAlign w:val="center"/>
          </w:tcPr>
          <w:p>
            <w:pPr>
              <w:pStyle w:val="TableContents"/>
              <w:rPr>
                <w:sz w:val="4"/>
                <w:szCs w:val="4"/>
              </w:rPr>
            </w:pPr>
            <w:r>
              <w:rPr>
                <w:sz w:val="4"/>
                <w:szCs w:val="4"/>
              </w:rPr>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D9EAD3" w:val="clear"/>
            <w:tcMar>
              <w:right w:w="0" w:type="dxa"/>
            </w:tcMar>
            <w:vAlign w:val="center"/>
          </w:tcPr>
          <w:p>
            <w:pPr>
              <w:pStyle w:val="TableContents"/>
              <w:jc w:val="center"/>
              <w:rPr>
                <w:b/>
              </w:rPr>
            </w:pPr>
            <w:r>
              <w:rPr>
                <w:b/>
              </w:rPr>
              <w:t>Kin</w:t>
            </w:r>
          </w:p>
        </w:tc>
        <w:tc>
          <w:tcPr>
            <w:tcW w:w="930" w:type="dxa"/>
            <w:tcBorders/>
            <w:shd w:fill="D9EAD3" w:val="clear"/>
            <w:tcMar>
              <w:right w:w="0" w:type="dxa"/>
            </w:tcMar>
            <w:vAlign w:val="center"/>
          </w:tcPr>
          <w:p>
            <w:pPr>
              <w:pStyle w:val="TableContents"/>
              <w:jc w:val="center"/>
              <w:rPr>
                <w:b/>
              </w:rPr>
            </w:pPr>
            <w:r>
              <w:rPr>
                <w:b/>
              </w:rPr>
              <w:t>Eb (GeV)</w:t>
            </w:r>
          </w:p>
        </w:tc>
        <w:tc>
          <w:tcPr>
            <w:tcW w:w="930" w:type="dxa"/>
            <w:tcBorders/>
            <w:shd w:fill="D9EAD3" w:val="clear"/>
            <w:tcMar>
              <w:right w:w="0" w:type="dxa"/>
            </w:tcMar>
            <w:vAlign w:val="center"/>
          </w:tcPr>
          <w:p>
            <w:pPr>
              <w:pStyle w:val="TableContents"/>
              <w:jc w:val="center"/>
              <w:rPr>
                <w:b/>
              </w:rPr>
            </w:pPr>
            <w:r>
              <w:rPr>
                <w:b/>
              </w:rPr>
              <w:t>Ep (GeV)</w:t>
            </w:r>
          </w:p>
        </w:tc>
        <w:tc>
          <w:tcPr>
            <w:tcW w:w="570" w:type="dxa"/>
            <w:tcBorders/>
            <w:shd w:fill="D9EAD3" w:val="clear"/>
            <w:tcMar>
              <w:right w:w="0" w:type="dxa"/>
            </w:tcMar>
            <w:vAlign w:val="center"/>
          </w:tcPr>
          <w:p>
            <w:pPr>
              <w:pStyle w:val="TableContents"/>
              <w:jc w:val="center"/>
              <w:rPr>
                <w:b/>
              </w:rPr>
            </w:pPr>
            <w:r>
              <w:rPr>
                <w:b/>
              </w:rPr>
              <w:t>theta</w:t>
            </w:r>
          </w:p>
        </w:tc>
        <w:tc>
          <w:tcPr>
            <w:tcW w:w="1035" w:type="dxa"/>
            <w:tcBorders/>
            <w:shd w:fill="D9EAD3" w:val="clear"/>
            <w:tcMar>
              <w:right w:w="0" w:type="dxa"/>
            </w:tcMar>
            <w:vAlign w:val="center"/>
          </w:tcPr>
          <w:p>
            <w:pPr>
              <w:pStyle w:val="TableContents"/>
              <w:jc w:val="center"/>
              <w:rPr>
                <w:b/>
              </w:rPr>
            </w:pPr>
            <w:r>
              <w:rPr>
                <w:b/>
              </w:rPr>
              <w:t>Q1 I (A)</w:t>
            </w:r>
          </w:p>
        </w:tc>
        <w:tc>
          <w:tcPr>
            <w:tcW w:w="1005" w:type="dxa"/>
            <w:tcBorders/>
            <w:shd w:fill="D9EAD3" w:val="clear"/>
            <w:tcMar>
              <w:right w:w="0" w:type="dxa"/>
            </w:tcMar>
            <w:vAlign w:val="center"/>
          </w:tcPr>
          <w:p>
            <w:pPr>
              <w:pStyle w:val="TableContents"/>
              <w:jc w:val="center"/>
              <w:rPr>
                <w:b/>
              </w:rPr>
            </w:pPr>
            <w:r>
              <w:rPr>
                <w:b/>
              </w:rPr>
              <w:t>Q2 I (A)</w:t>
            </w:r>
          </w:p>
        </w:tc>
        <w:tc>
          <w:tcPr>
            <w:tcW w:w="1005" w:type="dxa"/>
            <w:tcBorders/>
            <w:shd w:fill="D9EAD3" w:val="clear"/>
            <w:tcMar>
              <w:right w:w="0" w:type="dxa"/>
            </w:tcMar>
            <w:vAlign w:val="center"/>
          </w:tcPr>
          <w:p>
            <w:pPr>
              <w:pStyle w:val="TableContents"/>
              <w:jc w:val="center"/>
              <w:rPr>
                <w:b/>
              </w:rPr>
            </w:pPr>
            <w:r>
              <w:rPr>
                <w:b/>
              </w:rPr>
              <w:t>Q3 I (A)</w:t>
            </w:r>
          </w:p>
        </w:tc>
        <w:tc>
          <w:tcPr>
            <w:tcW w:w="990" w:type="dxa"/>
            <w:tcBorders/>
            <w:shd w:fill="D9EAD3" w:val="clear"/>
            <w:tcMar>
              <w:right w:w="0" w:type="dxa"/>
            </w:tcMar>
            <w:vAlign w:val="center"/>
          </w:tcPr>
          <w:p>
            <w:pPr>
              <w:pStyle w:val="TableContents"/>
              <w:jc w:val="center"/>
              <w:rPr>
                <w:b/>
              </w:rPr>
            </w:pPr>
            <w:r>
              <w:rPr>
                <w:b/>
              </w:rPr>
              <w:t>D I (A)</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A'</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4.3</w:t>
            </w:r>
          </w:p>
        </w:tc>
        <w:tc>
          <w:tcPr>
            <w:tcW w:w="570" w:type="dxa"/>
            <w:tcBorders/>
            <w:shd w:fill="auto" w:val="clear"/>
            <w:tcMar>
              <w:right w:w="0" w:type="dxa"/>
            </w:tcMar>
            <w:vAlign w:val="center"/>
          </w:tcPr>
          <w:p>
            <w:pPr>
              <w:pStyle w:val="TableContents"/>
              <w:jc w:val="right"/>
              <w:rPr/>
            </w:pPr>
            <w:r>
              <w:rPr/>
              <w:t>13.5</w:t>
            </w:r>
          </w:p>
        </w:tc>
        <w:tc>
          <w:tcPr>
            <w:tcW w:w="1035" w:type="dxa"/>
            <w:tcBorders/>
            <w:shd w:fill="auto" w:val="clear"/>
            <w:tcMar>
              <w:right w:w="0" w:type="dxa"/>
            </w:tcMar>
            <w:vAlign w:val="center"/>
          </w:tcPr>
          <w:p>
            <w:pPr>
              <w:pStyle w:val="TableContents"/>
              <w:jc w:val="right"/>
              <w:rPr/>
            </w:pPr>
            <w:r>
              <w:rPr/>
              <w:t>560.23</w:t>
            </w:r>
          </w:p>
        </w:tc>
        <w:tc>
          <w:tcPr>
            <w:tcW w:w="1005" w:type="dxa"/>
            <w:tcBorders/>
            <w:shd w:fill="auto" w:val="clear"/>
            <w:tcMar>
              <w:right w:w="0" w:type="dxa"/>
            </w:tcMar>
            <w:vAlign w:val="center"/>
          </w:tcPr>
          <w:p>
            <w:pPr>
              <w:pStyle w:val="TableContents"/>
              <w:jc w:val="right"/>
              <w:rPr/>
            </w:pPr>
            <w:r>
              <w:rPr/>
              <w:t>445.48</w:t>
            </w:r>
          </w:p>
        </w:tc>
        <w:tc>
          <w:tcPr>
            <w:tcW w:w="1005" w:type="dxa"/>
            <w:tcBorders/>
            <w:shd w:fill="auto" w:val="clear"/>
            <w:tcMar>
              <w:right w:w="0" w:type="dxa"/>
            </w:tcMar>
            <w:vAlign w:val="center"/>
          </w:tcPr>
          <w:p>
            <w:pPr>
              <w:pStyle w:val="TableContents"/>
              <w:jc w:val="right"/>
              <w:rPr/>
            </w:pPr>
            <w:r>
              <w:rPr/>
              <w:t>216.55</w:t>
            </w:r>
          </w:p>
        </w:tc>
        <w:tc>
          <w:tcPr>
            <w:tcW w:w="990" w:type="dxa"/>
            <w:tcBorders/>
            <w:shd w:fill="auto" w:val="clear"/>
            <w:tcMar>
              <w:right w:w="0" w:type="dxa"/>
            </w:tcMar>
            <w:vAlign w:val="center"/>
          </w:tcPr>
          <w:p>
            <w:pPr>
              <w:pStyle w:val="TableContents"/>
              <w:jc w:val="right"/>
              <w:rPr/>
            </w:pPr>
            <w:r>
              <w:rPr/>
              <w:t>1,321.61</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B'</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5.1</w:t>
            </w:r>
          </w:p>
        </w:tc>
        <w:tc>
          <w:tcPr>
            <w:tcW w:w="570" w:type="dxa"/>
            <w:tcBorders/>
            <w:shd w:fill="auto" w:val="clear"/>
            <w:tcMar>
              <w:right w:w="0" w:type="dxa"/>
            </w:tcMar>
            <w:vAlign w:val="center"/>
          </w:tcPr>
          <w:p>
            <w:pPr>
              <w:pStyle w:val="TableContents"/>
              <w:jc w:val="right"/>
              <w:rPr/>
            </w:pPr>
            <w:r>
              <w:rPr/>
              <w:t>16.4</w:t>
            </w:r>
          </w:p>
        </w:tc>
        <w:tc>
          <w:tcPr>
            <w:tcW w:w="1035" w:type="dxa"/>
            <w:tcBorders/>
            <w:shd w:fill="auto" w:val="clear"/>
            <w:tcMar>
              <w:right w:w="0" w:type="dxa"/>
            </w:tcMar>
            <w:vAlign w:val="center"/>
          </w:tcPr>
          <w:p>
            <w:pPr>
              <w:pStyle w:val="TableContents"/>
              <w:jc w:val="right"/>
              <w:rPr/>
            </w:pPr>
            <w:r>
              <w:rPr/>
              <w:t>664.51</w:t>
            </w:r>
          </w:p>
        </w:tc>
        <w:tc>
          <w:tcPr>
            <w:tcW w:w="1005" w:type="dxa"/>
            <w:tcBorders/>
            <w:shd w:fill="auto" w:val="clear"/>
            <w:tcMar>
              <w:right w:w="0" w:type="dxa"/>
            </w:tcMar>
            <w:vAlign w:val="center"/>
          </w:tcPr>
          <w:p>
            <w:pPr>
              <w:pStyle w:val="TableContents"/>
              <w:jc w:val="right"/>
              <w:rPr/>
            </w:pPr>
            <w:r>
              <w:rPr/>
              <w:t>529.34</w:t>
            </w:r>
          </w:p>
        </w:tc>
        <w:tc>
          <w:tcPr>
            <w:tcW w:w="1005" w:type="dxa"/>
            <w:tcBorders/>
            <w:shd w:fill="auto" w:val="clear"/>
            <w:tcMar>
              <w:right w:w="0" w:type="dxa"/>
            </w:tcMar>
            <w:vAlign w:val="center"/>
          </w:tcPr>
          <w:p>
            <w:pPr>
              <w:pStyle w:val="TableContents"/>
              <w:jc w:val="right"/>
              <w:rPr/>
            </w:pPr>
            <w:r>
              <w:rPr/>
              <w:t>256.76</w:t>
            </w:r>
          </w:p>
        </w:tc>
        <w:tc>
          <w:tcPr>
            <w:tcW w:w="990" w:type="dxa"/>
            <w:tcBorders/>
            <w:shd w:fill="auto" w:val="clear"/>
            <w:tcMar>
              <w:right w:w="0" w:type="dxa"/>
            </w:tcMar>
            <w:vAlign w:val="center"/>
          </w:tcPr>
          <w:p>
            <w:pPr>
              <w:pStyle w:val="TableContents"/>
              <w:jc w:val="right"/>
              <w:rPr/>
            </w:pPr>
            <w:r>
              <w:rPr/>
              <w:t>1,592.70</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C'</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4</w:t>
            </w:r>
          </w:p>
        </w:tc>
        <w:tc>
          <w:tcPr>
            <w:tcW w:w="570" w:type="dxa"/>
            <w:tcBorders/>
            <w:shd w:fill="auto" w:val="clear"/>
            <w:tcMar>
              <w:right w:w="0" w:type="dxa"/>
            </w:tcMar>
            <w:vAlign w:val="center"/>
          </w:tcPr>
          <w:p>
            <w:pPr>
              <w:pStyle w:val="TableContents"/>
              <w:jc w:val="right"/>
              <w:rPr/>
            </w:pPr>
            <w:r>
              <w:rPr/>
              <w:t>20</w:t>
            </w:r>
          </w:p>
        </w:tc>
        <w:tc>
          <w:tcPr>
            <w:tcW w:w="1035" w:type="dxa"/>
            <w:tcBorders/>
            <w:shd w:fill="auto" w:val="clear"/>
            <w:tcMar>
              <w:right w:w="0" w:type="dxa"/>
            </w:tcMar>
            <w:vAlign w:val="center"/>
          </w:tcPr>
          <w:p>
            <w:pPr>
              <w:pStyle w:val="TableContents"/>
              <w:jc w:val="right"/>
              <w:rPr/>
            </w:pPr>
            <w:r>
              <w:rPr/>
              <w:t>521.13</w:t>
            </w:r>
          </w:p>
        </w:tc>
        <w:tc>
          <w:tcPr>
            <w:tcW w:w="1005" w:type="dxa"/>
            <w:tcBorders/>
            <w:shd w:fill="auto" w:val="clear"/>
            <w:tcMar>
              <w:right w:w="0" w:type="dxa"/>
            </w:tcMar>
            <w:vAlign w:val="center"/>
          </w:tcPr>
          <w:p>
            <w:pPr>
              <w:pStyle w:val="TableContents"/>
              <w:jc w:val="right"/>
              <w:rPr/>
            </w:pPr>
            <w:r>
              <w:rPr/>
              <w:t>414.38</w:t>
            </w:r>
          </w:p>
        </w:tc>
        <w:tc>
          <w:tcPr>
            <w:tcW w:w="1005" w:type="dxa"/>
            <w:tcBorders/>
            <w:shd w:fill="auto" w:val="clear"/>
            <w:tcMar>
              <w:right w:w="0" w:type="dxa"/>
            </w:tcMar>
            <w:vAlign w:val="center"/>
          </w:tcPr>
          <w:p>
            <w:pPr>
              <w:pStyle w:val="TableContents"/>
              <w:jc w:val="right"/>
              <w:rPr/>
            </w:pPr>
            <w:r>
              <w:rPr/>
              <w:t>201.47</w:t>
            </w:r>
          </w:p>
        </w:tc>
        <w:tc>
          <w:tcPr>
            <w:tcW w:w="990" w:type="dxa"/>
            <w:tcBorders/>
            <w:shd w:fill="auto" w:val="clear"/>
            <w:tcMar>
              <w:right w:w="0" w:type="dxa"/>
            </w:tcMar>
            <w:vAlign w:val="center"/>
          </w:tcPr>
          <w:p>
            <w:pPr>
              <w:pStyle w:val="TableContents"/>
              <w:jc w:val="right"/>
              <w:rPr/>
            </w:pPr>
            <w:r>
              <w:rPr/>
              <w:t>1,226.75</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shd w:fill="auto" w:val="clear"/>
            <w:tcMar>
              <w:right w:w="0" w:type="dxa"/>
            </w:tcMar>
            <w:vAlign w:val="center"/>
          </w:tcPr>
          <w:p>
            <w:pPr>
              <w:pStyle w:val="TableContents"/>
              <w:jc w:val="right"/>
              <w:rPr/>
            </w:pPr>
            <w:r>
              <w:rPr/>
              <w:t>D'</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2.5</w:t>
            </w:r>
          </w:p>
        </w:tc>
        <w:tc>
          <w:tcPr>
            <w:tcW w:w="570" w:type="dxa"/>
            <w:tcBorders/>
            <w:shd w:fill="auto" w:val="clear"/>
            <w:tcMar>
              <w:right w:w="0" w:type="dxa"/>
            </w:tcMar>
            <w:vAlign w:val="center"/>
          </w:tcPr>
          <w:p>
            <w:pPr>
              <w:pStyle w:val="TableContents"/>
              <w:jc w:val="right"/>
              <w:rPr/>
            </w:pPr>
            <w:r>
              <w:rPr/>
              <w:t>25</w:t>
            </w:r>
          </w:p>
        </w:tc>
        <w:tc>
          <w:tcPr>
            <w:tcW w:w="1035" w:type="dxa"/>
            <w:tcBorders/>
            <w:shd w:fill="auto" w:val="clear"/>
            <w:tcMar>
              <w:right w:w="0" w:type="dxa"/>
            </w:tcMar>
            <w:vAlign w:val="center"/>
          </w:tcPr>
          <w:p>
            <w:pPr>
              <w:pStyle w:val="TableContents"/>
              <w:jc w:val="right"/>
              <w:rPr/>
            </w:pPr>
            <w:r>
              <w:rPr/>
              <w:t>325.66</w:t>
            </w:r>
          </w:p>
        </w:tc>
        <w:tc>
          <w:tcPr>
            <w:tcW w:w="1005" w:type="dxa"/>
            <w:tcBorders/>
            <w:shd w:fill="auto" w:val="clear"/>
            <w:tcMar>
              <w:right w:w="0" w:type="dxa"/>
            </w:tcMar>
            <w:vAlign w:val="center"/>
          </w:tcPr>
          <w:p>
            <w:pPr>
              <w:pStyle w:val="TableContents"/>
              <w:jc w:val="right"/>
              <w:rPr/>
            </w:pPr>
            <w:r>
              <w:rPr/>
              <w:t>258.89</w:t>
            </w:r>
          </w:p>
        </w:tc>
        <w:tc>
          <w:tcPr>
            <w:tcW w:w="1005" w:type="dxa"/>
            <w:tcBorders/>
            <w:shd w:fill="auto" w:val="clear"/>
            <w:tcMar>
              <w:right w:w="0" w:type="dxa"/>
            </w:tcMar>
            <w:vAlign w:val="center"/>
          </w:tcPr>
          <w:p>
            <w:pPr>
              <w:pStyle w:val="TableContents"/>
              <w:jc w:val="right"/>
              <w:rPr/>
            </w:pPr>
            <w:r>
              <w:rPr/>
              <w:t>126.08</w:t>
            </w:r>
          </w:p>
        </w:tc>
        <w:tc>
          <w:tcPr>
            <w:tcW w:w="990" w:type="dxa"/>
            <w:tcBorders/>
            <w:shd w:fill="auto" w:val="clear"/>
            <w:tcMar>
              <w:right w:w="0" w:type="dxa"/>
            </w:tcMar>
            <w:vAlign w:val="center"/>
          </w:tcPr>
          <w:p>
            <w:pPr>
              <w:pStyle w:val="TableContents"/>
              <w:jc w:val="right"/>
              <w:rPr/>
            </w:pPr>
            <w:r>
              <w:rPr/>
              <w:t>765.81</w:t>
            </w:r>
          </w:p>
        </w:tc>
        <w:tc>
          <w:tcPr>
            <w:tcW w:w="975" w:type="dxa"/>
            <w:tcBorders/>
            <w:shd w:fill="auto" w:val="clear"/>
            <w:tcMar>
              <w:right w:w="0" w:type="dxa"/>
            </w:tcMar>
            <w:vAlign w:val="center"/>
          </w:tcPr>
          <w:p>
            <w:pPr>
              <w:pStyle w:val="TableContents"/>
              <w:rPr>
                <w:sz w:val="4"/>
                <w:szCs w:val="4"/>
              </w:rPr>
            </w:pPr>
            <w:r>
              <w:rPr>
                <w:sz w:val="4"/>
                <w:szCs w:val="4"/>
              </w:rPr>
            </w:r>
          </w:p>
        </w:tc>
      </w:tr>
      <w:tr>
        <w:trPr/>
        <w:tc>
          <w:tcPr>
            <w:tcW w:w="712" w:type="dxa"/>
            <w:tcBorders>
              <w:right w:val="single" w:sz="2" w:space="0" w:color="000000"/>
              <w:insideV w:val="single" w:sz="2" w:space="0" w:color="000000"/>
            </w:tcBorders>
            <w:shd w:fill="F4CCCC" w:val="clear"/>
            <w:vAlign w:val="center"/>
          </w:tcPr>
          <w:p>
            <w:pPr>
              <w:pStyle w:val="TableContents"/>
              <w:rPr>
                <w:b/>
                <w:b/>
                <w:bCs/>
                <w:sz w:val="24"/>
                <w:szCs w:val="24"/>
              </w:rPr>
            </w:pPr>
            <w:r>
              <w:rPr>
                <w:b/>
                <w:sz w:val="24"/>
              </w:rPr>
              <w:t>d2n SHMS</w:t>
            </w:r>
          </w:p>
        </w:tc>
        <w:tc>
          <w:tcPr>
            <w:tcW w:w="930" w:type="dxa"/>
            <w:tcBorders/>
            <w:shd w:fill="F4CCCC" w:val="clear"/>
            <w:tcMar>
              <w:right w:w="0" w:type="dxa"/>
            </w:tcMar>
            <w:vAlign w:val="center"/>
          </w:tcPr>
          <w:p>
            <w:pPr>
              <w:pStyle w:val="TableContents"/>
              <w:rPr>
                <w:sz w:val="4"/>
                <w:szCs w:val="4"/>
              </w:rPr>
            </w:pPr>
            <w:r>
              <w:rPr>
                <w:sz w:val="4"/>
                <w:szCs w:val="4"/>
              </w:rPr>
            </w:r>
          </w:p>
        </w:tc>
        <w:tc>
          <w:tcPr>
            <w:tcW w:w="930" w:type="dxa"/>
            <w:tcBorders/>
            <w:shd w:fill="F4CCCC" w:val="clear"/>
            <w:tcMar>
              <w:right w:w="0" w:type="dxa"/>
            </w:tcMar>
            <w:vAlign w:val="center"/>
          </w:tcPr>
          <w:p>
            <w:pPr>
              <w:pStyle w:val="TableContents"/>
              <w:rPr>
                <w:sz w:val="4"/>
                <w:szCs w:val="4"/>
              </w:rPr>
            </w:pPr>
            <w:r>
              <w:rPr>
                <w:sz w:val="4"/>
                <w:szCs w:val="4"/>
              </w:rPr>
            </w:r>
          </w:p>
        </w:tc>
        <w:tc>
          <w:tcPr>
            <w:tcW w:w="570" w:type="dxa"/>
            <w:tcBorders/>
            <w:shd w:fill="F4CCCC" w:val="clear"/>
            <w:tcMar>
              <w:right w:w="0" w:type="dxa"/>
            </w:tcMar>
            <w:vAlign w:val="center"/>
          </w:tcPr>
          <w:p>
            <w:pPr>
              <w:pStyle w:val="TableContents"/>
              <w:rPr>
                <w:sz w:val="4"/>
                <w:szCs w:val="4"/>
              </w:rPr>
            </w:pPr>
            <w:r>
              <w:rPr>
                <w:sz w:val="4"/>
                <w:szCs w:val="4"/>
              </w:rPr>
            </w:r>
          </w:p>
        </w:tc>
        <w:tc>
          <w:tcPr>
            <w:tcW w:w="1035" w:type="dxa"/>
            <w:tcBorders/>
            <w:shd w:fill="F4CCCC" w:val="clear"/>
            <w:tcMar>
              <w:right w:w="0" w:type="dxa"/>
            </w:tcMar>
            <w:vAlign w:val="center"/>
          </w:tcPr>
          <w:p>
            <w:pPr>
              <w:pStyle w:val="TableContents"/>
              <w:rPr>
                <w:sz w:val="4"/>
                <w:szCs w:val="4"/>
              </w:rPr>
            </w:pPr>
            <w:r>
              <w:rPr>
                <w:sz w:val="4"/>
                <w:szCs w:val="4"/>
              </w:rPr>
            </w:r>
          </w:p>
        </w:tc>
        <w:tc>
          <w:tcPr>
            <w:tcW w:w="1005" w:type="dxa"/>
            <w:tcBorders/>
            <w:shd w:fill="F4CCCC" w:val="clear"/>
            <w:tcMar>
              <w:right w:w="0" w:type="dxa"/>
            </w:tcMar>
            <w:vAlign w:val="center"/>
          </w:tcPr>
          <w:p>
            <w:pPr>
              <w:pStyle w:val="TableContents"/>
              <w:rPr>
                <w:sz w:val="4"/>
                <w:szCs w:val="4"/>
              </w:rPr>
            </w:pPr>
            <w:r>
              <w:rPr>
                <w:sz w:val="4"/>
                <w:szCs w:val="4"/>
              </w:rPr>
            </w:r>
          </w:p>
        </w:tc>
        <w:tc>
          <w:tcPr>
            <w:tcW w:w="1005" w:type="dxa"/>
            <w:tcBorders/>
            <w:shd w:fill="F4CCCC" w:val="clear"/>
            <w:tcMar>
              <w:right w:w="0" w:type="dxa"/>
            </w:tcMar>
            <w:vAlign w:val="center"/>
          </w:tcPr>
          <w:p>
            <w:pPr>
              <w:pStyle w:val="TableContents"/>
              <w:rPr>
                <w:sz w:val="4"/>
                <w:szCs w:val="4"/>
              </w:rPr>
            </w:pPr>
            <w:r>
              <w:rPr>
                <w:sz w:val="4"/>
                <w:szCs w:val="4"/>
              </w:rPr>
            </w:r>
          </w:p>
        </w:tc>
        <w:tc>
          <w:tcPr>
            <w:tcW w:w="990" w:type="dxa"/>
            <w:tcBorders/>
            <w:shd w:fill="F4CCCC" w:val="clear"/>
            <w:tcMar>
              <w:right w:w="0" w:type="dxa"/>
            </w:tcMar>
            <w:vAlign w:val="center"/>
          </w:tcPr>
          <w:p>
            <w:pPr>
              <w:pStyle w:val="TableContents"/>
              <w:rPr>
                <w:sz w:val="4"/>
                <w:szCs w:val="4"/>
              </w:rPr>
            </w:pPr>
            <w:r>
              <w:rPr>
                <w:sz w:val="4"/>
                <w:szCs w:val="4"/>
              </w:rPr>
            </w:r>
          </w:p>
        </w:tc>
        <w:tc>
          <w:tcPr>
            <w:tcW w:w="975" w:type="dxa"/>
            <w:tcBorders/>
            <w:shd w:fill="F4CCCC" w:val="clear"/>
            <w:tcMar>
              <w:right w:w="0" w:type="dxa"/>
            </w:tcMar>
            <w:vAlign w:val="center"/>
          </w:tcPr>
          <w:p>
            <w:pPr>
              <w:pStyle w:val="TableContents"/>
              <w:rPr>
                <w:sz w:val="4"/>
                <w:szCs w:val="4"/>
              </w:rPr>
            </w:pPr>
            <w:r>
              <w:rPr>
                <w:sz w:val="4"/>
                <w:szCs w:val="4"/>
              </w:rPr>
            </w:r>
          </w:p>
        </w:tc>
      </w:tr>
      <w:tr>
        <w:trPr/>
        <w:tc>
          <w:tcPr>
            <w:tcW w:w="712" w:type="dxa"/>
            <w:tcBorders/>
            <w:shd w:fill="F4CCCC" w:val="clear"/>
            <w:tcMar>
              <w:right w:w="0" w:type="dxa"/>
            </w:tcMar>
            <w:vAlign w:val="center"/>
          </w:tcPr>
          <w:p>
            <w:pPr>
              <w:pStyle w:val="TableContents"/>
              <w:jc w:val="center"/>
              <w:rPr>
                <w:b/>
              </w:rPr>
            </w:pPr>
            <w:r>
              <w:rPr>
                <w:b/>
              </w:rPr>
              <w:t>Kin</w:t>
            </w:r>
          </w:p>
        </w:tc>
        <w:tc>
          <w:tcPr>
            <w:tcW w:w="930" w:type="dxa"/>
            <w:tcBorders/>
            <w:shd w:fill="F4CCCC" w:val="clear"/>
            <w:tcMar>
              <w:right w:w="0" w:type="dxa"/>
            </w:tcMar>
            <w:vAlign w:val="center"/>
          </w:tcPr>
          <w:p>
            <w:pPr>
              <w:pStyle w:val="TableContents"/>
              <w:jc w:val="center"/>
              <w:rPr>
                <w:b/>
              </w:rPr>
            </w:pPr>
            <w:r>
              <w:rPr>
                <w:b/>
              </w:rPr>
              <w:t>Eb (GeV)</w:t>
            </w:r>
          </w:p>
        </w:tc>
        <w:tc>
          <w:tcPr>
            <w:tcW w:w="930" w:type="dxa"/>
            <w:tcBorders/>
            <w:shd w:fill="F4CCCC" w:val="clear"/>
            <w:tcMar>
              <w:right w:w="0" w:type="dxa"/>
            </w:tcMar>
            <w:vAlign w:val="center"/>
          </w:tcPr>
          <w:p>
            <w:pPr>
              <w:pStyle w:val="TableContents"/>
              <w:jc w:val="center"/>
              <w:rPr>
                <w:b/>
              </w:rPr>
            </w:pPr>
            <w:r>
              <w:rPr>
                <w:b/>
              </w:rPr>
              <w:t>Ep (GeV)</w:t>
            </w:r>
          </w:p>
        </w:tc>
        <w:tc>
          <w:tcPr>
            <w:tcW w:w="570" w:type="dxa"/>
            <w:tcBorders/>
            <w:shd w:fill="F4CCCC" w:val="clear"/>
            <w:tcMar>
              <w:right w:w="0" w:type="dxa"/>
            </w:tcMar>
            <w:vAlign w:val="center"/>
          </w:tcPr>
          <w:p>
            <w:pPr>
              <w:pStyle w:val="TableContents"/>
              <w:jc w:val="center"/>
              <w:rPr>
                <w:b/>
              </w:rPr>
            </w:pPr>
            <w:r>
              <w:rPr>
                <w:b/>
              </w:rPr>
              <w:t>theta</w:t>
            </w:r>
          </w:p>
        </w:tc>
        <w:tc>
          <w:tcPr>
            <w:tcW w:w="1035" w:type="dxa"/>
            <w:tcBorders/>
            <w:shd w:fill="F4CCCC" w:val="clear"/>
            <w:tcMar>
              <w:right w:w="0" w:type="dxa"/>
            </w:tcMar>
            <w:vAlign w:val="center"/>
          </w:tcPr>
          <w:p>
            <w:pPr>
              <w:pStyle w:val="TableContents"/>
              <w:jc w:val="center"/>
              <w:rPr>
                <w:b/>
              </w:rPr>
            </w:pPr>
            <w:r>
              <w:rPr>
                <w:b/>
              </w:rPr>
              <w:t>HB I (A)</w:t>
            </w:r>
          </w:p>
        </w:tc>
        <w:tc>
          <w:tcPr>
            <w:tcW w:w="1005" w:type="dxa"/>
            <w:tcBorders/>
            <w:shd w:fill="F4CCCC" w:val="clear"/>
            <w:tcMar>
              <w:right w:w="0" w:type="dxa"/>
            </w:tcMar>
            <w:vAlign w:val="center"/>
          </w:tcPr>
          <w:p>
            <w:pPr>
              <w:pStyle w:val="TableContents"/>
              <w:jc w:val="center"/>
              <w:rPr>
                <w:b/>
              </w:rPr>
            </w:pPr>
            <w:r>
              <w:rPr>
                <w:b/>
              </w:rPr>
              <w:t>Q1 I (A)</w:t>
            </w:r>
          </w:p>
        </w:tc>
        <w:tc>
          <w:tcPr>
            <w:tcW w:w="1005" w:type="dxa"/>
            <w:tcBorders/>
            <w:shd w:fill="F4CCCC" w:val="clear"/>
            <w:tcMar>
              <w:right w:w="0" w:type="dxa"/>
            </w:tcMar>
            <w:vAlign w:val="center"/>
          </w:tcPr>
          <w:p>
            <w:pPr>
              <w:pStyle w:val="TableContents"/>
              <w:jc w:val="center"/>
              <w:rPr>
                <w:b/>
              </w:rPr>
            </w:pPr>
            <w:r>
              <w:rPr>
                <w:b/>
              </w:rPr>
              <w:t>Q2 I (A)</w:t>
            </w:r>
          </w:p>
        </w:tc>
        <w:tc>
          <w:tcPr>
            <w:tcW w:w="990" w:type="dxa"/>
            <w:tcBorders/>
            <w:shd w:fill="F4CCCC" w:val="clear"/>
            <w:tcMar>
              <w:right w:w="0" w:type="dxa"/>
            </w:tcMar>
            <w:vAlign w:val="center"/>
          </w:tcPr>
          <w:p>
            <w:pPr>
              <w:pStyle w:val="TableContents"/>
              <w:jc w:val="center"/>
              <w:rPr>
                <w:b/>
              </w:rPr>
            </w:pPr>
            <w:r>
              <w:rPr>
                <w:b/>
              </w:rPr>
              <w:t>Q3 I (A)</w:t>
            </w:r>
          </w:p>
        </w:tc>
        <w:tc>
          <w:tcPr>
            <w:tcW w:w="975" w:type="dxa"/>
            <w:tcBorders/>
            <w:shd w:fill="F4CCCC" w:val="clear"/>
            <w:tcMar>
              <w:right w:w="0" w:type="dxa"/>
            </w:tcMar>
            <w:vAlign w:val="center"/>
          </w:tcPr>
          <w:p>
            <w:pPr>
              <w:pStyle w:val="TableContents"/>
              <w:jc w:val="center"/>
              <w:rPr>
                <w:b/>
              </w:rPr>
            </w:pPr>
            <w:r>
              <w:rPr>
                <w:b/>
              </w:rPr>
              <w:t>D I (A)</w:t>
            </w:r>
          </w:p>
        </w:tc>
      </w:tr>
      <w:tr>
        <w:trPr/>
        <w:tc>
          <w:tcPr>
            <w:tcW w:w="712" w:type="dxa"/>
            <w:tcBorders/>
            <w:shd w:fill="auto" w:val="clear"/>
            <w:tcMar>
              <w:right w:w="0" w:type="dxa"/>
            </w:tcMar>
            <w:vAlign w:val="center"/>
          </w:tcPr>
          <w:p>
            <w:pPr>
              <w:pStyle w:val="TableContents"/>
              <w:jc w:val="right"/>
              <w:rPr/>
            </w:pPr>
            <w:r>
              <w:rPr/>
              <w:t>A</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7.5</w:t>
            </w:r>
          </w:p>
        </w:tc>
        <w:tc>
          <w:tcPr>
            <w:tcW w:w="570" w:type="dxa"/>
            <w:tcBorders/>
            <w:shd w:fill="auto" w:val="clear"/>
            <w:tcMar>
              <w:right w:w="0" w:type="dxa"/>
            </w:tcMar>
            <w:vAlign w:val="center"/>
          </w:tcPr>
          <w:p>
            <w:pPr>
              <w:pStyle w:val="TableContents"/>
              <w:jc w:val="right"/>
              <w:rPr/>
            </w:pPr>
            <w:r>
              <w:rPr/>
              <w:t>11</w:t>
            </w:r>
          </w:p>
        </w:tc>
        <w:tc>
          <w:tcPr>
            <w:tcW w:w="1035" w:type="dxa"/>
            <w:tcBorders/>
            <w:shd w:fill="auto" w:val="clear"/>
            <w:tcMar>
              <w:right w:w="0" w:type="dxa"/>
            </w:tcMar>
            <w:vAlign w:val="center"/>
          </w:tcPr>
          <w:p>
            <w:pPr>
              <w:pStyle w:val="TableContents"/>
              <w:jc w:val="right"/>
              <w:rPr/>
            </w:pPr>
            <w:r>
              <w:rPr/>
              <w:t>2,552.33</w:t>
            </w:r>
          </w:p>
        </w:tc>
        <w:tc>
          <w:tcPr>
            <w:tcW w:w="1005" w:type="dxa"/>
            <w:tcBorders/>
            <w:shd w:fill="auto" w:val="clear"/>
            <w:tcMar>
              <w:right w:w="0" w:type="dxa"/>
            </w:tcMar>
            <w:vAlign w:val="center"/>
          </w:tcPr>
          <w:p>
            <w:pPr>
              <w:pStyle w:val="TableContents"/>
              <w:jc w:val="right"/>
              <w:rPr/>
            </w:pPr>
            <w:r>
              <w:rPr/>
              <w:t>1,582.75</w:t>
            </w:r>
          </w:p>
        </w:tc>
        <w:tc>
          <w:tcPr>
            <w:tcW w:w="1005" w:type="dxa"/>
            <w:tcBorders/>
            <w:shd w:fill="auto" w:val="clear"/>
            <w:tcMar>
              <w:right w:w="0" w:type="dxa"/>
            </w:tcMar>
            <w:vAlign w:val="center"/>
          </w:tcPr>
          <w:p>
            <w:pPr>
              <w:pStyle w:val="TableContents"/>
              <w:jc w:val="right"/>
              <w:rPr/>
            </w:pPr>
            <w:r>
              <w:rPr/>
              <w:t>2,645.11</w:t>
            </w:r>
          </w:p>
        </w:tc>
        <w:tc>
          <w:tcPr>
            <w:tcW w:w="990" w:type="dxa"/>
            <w:tcBorders/>
            <w:shd w:fill="auto" w:val="clear"/>
            <w:tcMar>
              <w:right w:w="0" w:type="dxa"/>
            </w:tcMar>
            <w:vAlign w:val="center"/>
          </w:tcPr>
          <w:p>
            <w:pPr>
              <w:pStyle w:val="TableContents"/>
              <w:jc w:val="right"/>
              <w:rPr/>
            </w:pPr>
            <w:r>
              <w:rPr/>
              <w:t>1,740.46</w:t>
            </w:r>
          </w:p>
        </w:tc>
        <w:tc>
          <w:tcPr>
            <w:tcW w:w="975" w:type="dxa"/>
            <w:tcBorders/>
            <w:shd w:fill="auto" w:val="clear"/>
            <w:tcMar>
              <w:right w:w="0" w:type="dxa"/>
            </w:tcMar>
            <w:vAlign w:val="center"/>
          </w:tcPr>
          <w:p>
            <w:pPr>
              <w:pStyle w:val="TableContents"/>
              <w:jc w:val="right"/>
              <w:rPr/>
            </w:pPr>
            <w:r>
              <w:rPr/>
              <w:t>2,392.95</w:t>
            </w:r>
          </w:p>
        </w:tc>
      </w:tr>
      <w:tr>
        <w:trPr/>
        <w:tc>
          <w:tcPr>
            <w:tcW w:w="712" w:type="dxa"/>
            <w:tcBorders/>
            <w:shd w:fill="auto" w:val="clear"/>
            <w:tcMar>
              <w:right w:w="0" w:type="dxa"/>
            </w:tcMar>
            <w:vAlign w:val="center"/>
          </w:tcPr>
          <w:p>
            <w:pPr>
              <w:pStyle w:val="TableContents"/>
              <w:jc w:val="right"/>
              <w:rPr/>
            </w:pPr>
            <w:r>
              <w:rPr/>
              <w:t>B</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7</w:t>
            </w:r>
          </w:p>
        </w:tc>
        <w:tc>
          <w:tcPr>
            <w:tcW w:w="570" w:type="dxa"/>
            <w:tcBorders/>
            <w:shd w:fill="auto" w:val="clear"/>
            <w:tcMar>
              <w:right w:w="0" w:type="dxa"/>
            </w:tcMar>
            <w:vAlign w:val="center"/>
          </w:tcPr>
          <w:p>
            <w:pPr>
              <w:pStyle w:val="TableContents"/>
              <w:jc w:val="right"/>
              <w:rPr/>
            </w:pPr>
            <w:r>
              <w:rPr/>
              <w:t>13.3</w:t>
            </w:r>
          </w:p>
        </w:tc>
        <w:tc>
          <w:tcPr>
            <w:tcW w:w="1035" w:type="dxa"/>
            <w:tcBorders/>
            <w:shd w:fill="auto" w:val="clear"/>
            <w:tcMar>
              <w:right w:w="0" w:type="dxa"/>
            </w:tcMar>
            <w:vAlign w:val="center"/>
          </w:tcPr>
          <w:p>
            <w:pPr>
              <w:pStyle w:val="TableContents"/>
              <w:jc w:val="right"/>
              <w:rPr/>
            </w:pPr>
            <w:r>
              <w:rPr/>
              <w:t>2,371.64</w:t>
            </w:r>
          </w:p>
        </w:tc>
        <w:tc>
          <w:tcPr>
            <w:tcW w:w="1005" w:type="dxa"/>
            <w:tcBorders/>
            <w:shd w:fill="auto" w:val="clear"/>
            <w:tcMar>
              <w:right w:w="0" w:type="dxa"/>
            </w:tcMar>
            <w:vAlign w:val="center"/>
          </w:tcPr>
          <w:p>
            <w:pPr>
              <w:pStyle w:val="TableContents"/>
              <w:jc w:val="right"/>
              <w:rPr/>
            </w:pPr>
            <w:r>
              <w:rPr/>
              <w:t>1,475.73</w:t>
            </w:r>
          </w:p>
        </w:tc>
        <w:tc>
          <w:tcPr>
            <w:tcW w:w="1005" w:type="dxa"/>
            <w:tcBorders/>
            <w:shd w:fill="auto" w:val="clear"/>
            <w:tcMar>
              <w:right w:w="0" w:type="dxa"/>
            </w:tcMar>
            <w:vAlign w:val="center"/>
          </w:tcPr>
          <w:p>
            <w:pPr>
              <w:pStyle w:val="TableContents"/>
              <w:jc w:val="right"/>
              <w:rPr/>
            </w:pPr>
            <w:r>
              <w:rPr/>
              <w:t>2,468.77</w:t>
            </w:r>
          </w:p>
        </w:tc>
        <w:tc>
          <w:tcPr>
            <w:tcW w:w="990" w:type="dxa"/>
            <w:tcBorders/>
            <w:shd w:fill="auto" w:val="clear"/>
            <w:tcMar>
              <w:right w:w="0" w:type="dxa"/>
            </w:tcMar>
            <w:vAlign w:val="center"/>
          </w:tcPr>
          <w:p>
            <w:pPr>
              <w:pStyle w:val="TableContents"/>
              <w:jc w:val="right"/>
              <w:rPr/>
            </w:pPr>
            <w:r>
              <w:rPr/>
              <w:t>1,624.43</w:t>
            </w:r>
          </w:p>
        </w:tc>
        <w:tc>
          <w:tcPr>
            <w:tcW w:w="975" w:type="dxa"/>
            <w:tcBorders/>
            <w:shd w:fill="auto" w:val="clear"/>
            <w:tcMar>
              <w:right w:w="0" w:type="dxa"/>
            </w:tcMar>
            <w:vAlign w:val="center"/>
          </w:tcPr>
          <w:p>
            <w:pPr>
              <w:pStyle w:val="TableContents"/>
              <w:jc w:val="right"/>
              <w:rPr/>
            </w:pPr>
            <w:r>
              <w:rPr/>
              <w:t>2,233.42</w:t>
            </w:r>
          </w:p>
        </w:tc>
      </w:tr>
      <w:tr>
        <w:trPr/>
        <w:tc>
          <w:tcPr>
            <w:tcW w:w="712" w:type="dxa"/>
            <w:tcBorders/>
            <w:shd w:fill="auto" w:val="clear"/>
            <w:tcMar>
              <w:right w:w="0" w:type="dxa"/>
            </w:tcMar>
            <w:vAlign w:val="center"/>
          </w:tcPr>
          <w:p>
            <w:pPr>
              <w:pStyle w:val="TableContents"/>
              <w:jc w:val="right"/>
              <w:rPr/>
            </w:pPr>
            <w:r>
              <w:rPr/>
              <w:t>C</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6.3</w:t>
            </w:r>
          </w:p>
        </w:tc>
        <w:tc>
          <w:tcPr>
            <w:tcW w:w="570" w:type="dxa"/>
            <w:tcBorders/>
            <w:shd w:fill="auto" w:val="clear"/>
            <w:tcMar>
              <w:right w:w="0" w:type="dxa"/>
            </w:tcMar>
            <w:vAlign w:val="center"/>
          </w:tcPr>
          <w:p>
            <w:pPr>
              <w:pStyle w:val="TableContents"/>
              <w:jc w:val="right"/>
              <w:rPr/>
            </w:pPr>
            <w:r>
              <w:rPr/>
              <w:t>15.5</w:t>
            </w:r>
          </w:p>
        </w:tc>
        <w:tc>
          <w:tcPr>
            <w:tcW w:w="1035" w:type="dxa"/>
            <w:tcBorders/>
            <w:shd w:fill="auto" w:val="clear"/>
            <w:tcMar>
              <w:right w:w="0" w:type="dxa"/>
            </w:tcMar>
            <w:vAlign w:val="center"/>
          </w:tcPr>
          <w:p>
            <w:pPr>
              <w:pStyle w:val="TableContents"/>
              <w:jc w:val="right"/>
              <w:rPr/>
            </w:pPr>
            <w:r>
              <w:rPr/>
              <w:t>2,122.42</w:t>
            </w:r>
          </w:p>
        </w:tc>
        <w:tc>
          <w:tcPr>
            <w:tcW w:w="1005" w:type="dxa"/>
            <w:tcBorders/>
            <w:shd w:fill="auto" w:val="clear"/>
            <w:tcMar>
              <w:right w:w="0" w:type="dxa"/>
            </w:tcMar>
            <w:vAlign w:val="center"/>
          </w:tcPr>
          <w:p>
            <w:pPr>
              <w:pStyle w:val="TableContents"/>
              <w:jc w:val="right"/>
              <w:rPr/>
            </w:pPr>
            <w:r>
              <w:rPr/>
              <w:t>1,325.42</w:t>
            </w:r>
          </w:p>
        </w:tc>
        <w:tc>
          <w:tcPr>
            <w:tcW w:w="1005" w:type="dxa"/>
            <w:tcBorders/>
            <w:shd w:fill="auto" w:val="clear"/>
            <w:tcMar>
              <w:right w:w="0" w:type="dxa"/>
            </w:tcMar>
            <w:vAlign w:val="center"/>
          </w:tcPr>
          <w:p>
            <w:pPr>
              <w:pStyle w:val="TableContents"/>
              <w:jc w:val="right"/>
              <w:rPr/>
            </w:pPr>
            <w:r>
              <w:rPr/>
              <w:t>2,221.89</w:t>
            </w:r>
          </w:p>
        </w:tc>
        <w:tc>
          <w:tcPr>
            <w:tcW w:w="990" w:type="dxa"/>
            <w:tcBorders/>
            <w:shd w:fill="auto" w:val="clear"/>
            <w:tcMar>
              <w:right w:w="0" w:type="dxa"/>
            </w:tcMar>
            <w:vAlign w:val="center"/>
          </w:tcPr>
          <w:p>
            <w:pPr>
              <w:pStyle w:val="TableContents"/>
              <w:jc w:val="right"/>
              <w:rPr/>
            </w:pPr>
            <w:r>
              <w:rPr/>
              <w:t>1,461.99</w:t>
            </w:r>
          </w:p>
        </w:tc>
        <w:tc>
          <w:tcPr>
            <w:tcW w:w="975" w:type="dxa"/>
            <w:tcBorders/>
            <w:shd w:fill="auto" w:val="clear"/>
            <w:tcMar>
              <w:right w:w="0" w:type="dxa"/>
            </w:tcMar>
            <w:vAlign w:val="center"/>
          </w:tcPr>
          <w:p>
            <w:pPr>
              <w:pStyle w:val="TableContents"/>
              <w:jc w:val="right"/>
              <w:rPr/>
            </w:pPr>
            <w:r>
              <w:rPr/>
              <w:t>2,010.08</w:t>
            </w:r>
          </w:p>
        </w:tc>
      </w:tr>
      <w:tr>
        <w:trPr/>
        <w:tc>
          <w:tcPr>
            <w:tcW w:w="712" w:type="dxa"/>
            <w:tcBorders/>
            <w:shd w:fill="auto" w:val="clear"/>
            <w:tcMar>
              <w:right w:w="0" w:type="dxa"/>
            </w:tcMar>
            <w:vAlign w:val="center"/>
          </w:tcPr>
          <w:p>
            <w:pPr>
              <w:pStyle w:val="TableContents"/>
              <w:jc w:val="right"/>
              <w:rPr/>
            </w:pPr>
            <w:r>
              <w:rPr/>
              <w:t>D</w:t>
            </w:r>
          </w:p>
        </w:tc>
        <w:tc>
          <w:tcPr>
            <w:tcW w:w="930" w:type="dxa"/>
            <w:tcBorders/>
            <w:shd w:fill="auto" w:val="clear"/>
            <w:tcMar>
              <w:right w:w="0" w:type="dxa"/>
            </w:tcMar>
            <w:vAlign w:val="center"/>
          </w:tcPr>
          <w:p>
            <w:pPr>
              <w:pStyle w:val="TableContents"/>
              <w:jc w:val="right"/>
              <w:rPr/>
            </w:pPr>
            <w:r>
              <w:rPr/>
              <w:t>10.5</w:t>
            </w:r>
          </w:p>
        </w:tc>
        <w:tc>
          <w:tcPr>
            <w:tcW w:w="930" w:type="dxa"/>
            <w:tcBorders/>
            <w:shd w:fill="auto" w:val="clear"/>
            <w:tcMar>
              <w:right w:w="0" w:type="dxa"/>
            </w:tcMar>
            <w:vAlign w:val="center"/>
          </w:tcPr>
          <w:p>
            <w:pPr>
              <w:pStyle w:val="TableContents"/>
              <w:jc w:val="right"/>
              <w:rPr/>
            </w:pPr>
            <w:r>
              <w:rPr/>
              <w:t>5.6</w:t>
            </w:r>
          </w:p>
        </w:tc>
        <w:tc>
          <w:tcPr>
            <w:tcW w:w="570" w:type="dxa"/>
            <w:tcBorders/>
            <w:shd w:fill="auto" w:val="clear"/>
            <w:tcMar>
              <w:right w:w="0" w:type="dxa"/>
            </w:tcMar>
            <w:vAlign w:val="center"/>
          </w:tcPr>
          <w:p>
            <w:pPr>
              <w:pStyle w:val="TableContents"/>
              <w:jc w:val="right"/>
              <w:rPr/>
            </w:pPr>
            <w:r>
              <w:rPr/>
              <w:t>18</w:t>
            </w:r>
          </w:p>
        </w:tc>
        <w:tc>
          <w:tcPr>
            <w:tcW w:w="1035" w:type="dxa"/>
            <w:tcBorders/>
            <w:shd w:fill="auto" w:val="clear"/>
            <w:tcMar>
              <w:right w:w="0" w:type="dxa"/>
            </w:tcMar>
            <w:vAlign w:val="center"/>
          </w:tcPr>
          <w:p>
            <w:pPr>
              <w:pStyle w:val="TableContents"/>
              <w:jc w:val="right"/>
              <w:rPr/>
            </w:pPr>
            <w:r>
              <w:rPr/>
              <w:t>1,877.10</w:t>
            </w:r>
          </w:p>
        </w:tc>
        <w:tc>
          <w:tcPr>
            <w:tcW w:w="1005" w:type="dxa"/>
            <w:tcBorders/>
            <w:shd w:fill="auto" w:val="clear"/>
            <w:tcMar>
              <w:right w:w="0" w:type="dxa"/>
            </w:tcMar>
            <w:vAlign w:val="center"/>
          </w:tcPr>
          <w:p>
            <w:pPr>
              <w:pStyle w:val="TableContents"/>
              <w:jc w:val="right"/>
              <w:rPr/>
            </w:pPr>
            <w:r>
              <w:rPr/>
              <w:t>1,175.83</w:t>
            </w:r>
          </w:p>
        </w:tc>
        <w:tc>
          <w:tcPr>
            <w:tcW w:w="1005" w:type="dxa"/>
            <w:tcBorders/>
            <w:shd w:fill="auto" w:val="clear"/>
            <w:tcMar>
              <w:right w:w="0" w:type="dxa"/>
            </w:tcMar>
            <w:vAlign w:val="center"/>
          </w:tcPr>
          <w:p>
            <w:pPr>
              <w:pStyle w:val="TableContents"/>
              <w:jc w:val="right"/>
              <w:rPr/>
            </w:pPr>
            <w:r>
              <w:rPr/>
              <w:t>1,975.02</w:t>
            </w:r>
          </w:p>
        </w:tc>
        <w:tc>
          <w:tcPr>
            <w:tcW w:w="990" w:type="dxa"/>
            <w:tcBorders/>
            <w:shd w:fill="auto" w:val="clear"/>
            <w:tcMar>
              <w:right w:w="0" w:type="dxa"/>
            </w:tcMar>
            <w:vAlign w:val="center"/>
          </w:tcPr>
          <w:p>
            <w:pPr>
              <w:pStyle w:val="TableContents"/>
              <w:jc w:val="right"/>
              <w:rPr/>
            </w:pPr>
            <w:r>
              <w:rPr/>
              <w:t>1,299.54</w:t>
            </w:r>
          </w:p>
        </w:tc>
        <w:tc>
          <w:tcPr>
            <w:tcW w:w="975" w:type="dxa"/>
            <w:tcBorders/>
            <w:shd w:fill="auto" w:val="clear"/>
            <w:tcMar>
              <w:right w:w="0" w:type="dxa"/>
            </w:tcMar>
            <w:vAlign w:val="center"/>
          </w:tcPr>
          <w:p>
            <w:pPr>
              <w:pStyle w:val="TableContents"/>
              <w:jc w:val="right"/>
              <w:rPr/>
            </w:pPr>
            <w:r>
              <w:rPr/>
              <w:t>1,786.74</w:t>
            </w:r>
          </w:p>
        </w:tc>
      </w:tr>
    </w:tbl>
    <w:p>
      <w:pPr>
        <w:pStyle w:val="Normal"/>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5"/>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FreeSans"/>
      <w:color w:val="auto"/>
      <w:kern w:val="0"/>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TotalTime>
  <Application>LibreOffice/6.0.7.3$Linux_X86_64 LibreOffice_project/00m0$Build-3</Application>
  <Pages>9</Pages>
  <Words>3589</Words>
  <Characters>16898</Characters>
  <CharactersWithSpaces>20221</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2018-12-16T09:53:21Z</dcterms:created>
  <dc:creator/>
  <dc:description/>
  <dc:language>en-US</dc:language>
  <cp:lastModifiedBy/>
  <dcterms:modified xsi:type="dcterms:W3CDTF">2019-07-25T14:46:08Z</dcterms:modified>
  <cp:revision>12</cp:revision>
  <dc:subject/>
  <dc:title/>
</cp:coreProperties>
</file>